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720"/>
      </w:tblGrid>
      <w:tr w:rsidR="00AD3246" w14:paraId="1777C4E3" w14:textId="77777777">
        <w:tc>
          <w:tcPr>
            <w:tcW w:w="9720" w:type="dxa"/>
            <w:tcBorders>
              <w:top w:val="none" w:sz="0" w:space="0" w:color="FFFFFF"/>
              <w:left w:val="none" w:sz="0" w:space="0" w:color="FFFFFF"/>
              <w:bottom w:val="none" w:sz="0" w:space="0" w:color="FFFFFF"/>
              <w:right w:val="none" w:sz="0" w:space="0" w:color="FFFFFF"/>
            </w:tcBorders>
            <w:shd w:val="clear" w:color="auto" w:fill="1A5276"/>
            <w:tcMar>
              <w:top w:w="220" w:type="dxa"/>
              <w:left w:w="280" w:type="dxa"/>
              <w:bottom w:w="220" w:type="dxa"/>
              <w:right w:w="280" w:type="dxa"/>
            </w:tcMar>
          </w:tcPr>
          <w:p w14:paraId="0097677D" w14:textId="77777777" w:rsidR="00AD3246" w:rsidRDefault="00F87E44">
            <w:pPr>
              <w:jc w:val="center"/>
            </w:pPr>
            <w:r>
              <w:rPr>
                <w:b/>
                <w:bCs/>
                <w:color w:val="FFFFFF"/>
                <w:sz w:val="36"/>
                <w:szCs w:val="36"/>
              </w:rPr>
              <w:t>CSW70 FACTUAL BRIEFING</w:t>
            </w:r>
          </w:p>
          <w:p w14:paraId="4B69DDC8" w14:textId="77777777" w:rsidR="00AD3246" w:rsidRDefault="00F87E44">
            <w:pPr>
              <w:spacing w:before="80"/>
              <w:jc w:val="center"/>
            </w:pPr>
            <w:r>
              <w:rPr>
                <w:color w:val="BDE0F5"/>
                <w:sz w:val="24"/>
                <w:szCs w:val="24"/>
              </w:rPr>
              <w:t>Analysis of Eight Proposed Amendments to the Agreed Conclusions</w:t>
            </w:r>
          </w:p>
          <w:p w14:paraId="376E246A" w14:textId="56C25C55" w:rsidR="00AD3246" w:rsidRDefault="00F87E44">
            <w:pPr>
              <w:spacing w:before="60"/>
              <w:jc w:val="center"/>
            </w:pPr>
            <w:r>
              <w:rPr>
                <w:i/>
                <w:iCs/>
                <w:color w:val="A9CCE3"/>
              </w:rPr>
              <w:t xml:space="preserve">Commission on the Status of Women, </w:t>
            </w:r>
            <w:r w:rsidR="00776AAE">
              <w:rPr>
                <w:i/>
                <w:iCs/>
                <w:color w:val="A9CCE3"/>
              </w:rPr>
              <w:t>70</w:t>
            </w:r>
            <w:r>
              <w:rPr>
                <w:i/>
                <w:iCs/>
                <w:color w:val="A9CCE3"/>
              </w:rPr>
              <w:t xml:space="preserve">th </w:t>
            </w:r>
            <w:proofErr w:type="gramStart"/>
            <w:r>
              <w:rPr>
                <w:i/>
                <w:iCs/>
                <w:color w:val="A9CCE3"/>
              </w:rPr>
              <w:t>Session  |</w:t>
            </w:r>
            <w:proofErr w:type="gramEnd"/>
            <w:r>
              <w:rPr>
                <w:i/>
                <w:iCs/>
                <w:color w:val="A9CCE3"/>
              </w:rPr>
              <w:t xml:space="preserve">  March 2026</w:t>
            </w:r>
          </w:p>
        </w:tc>
      </w:tr>
    </w:tbl>
    <w:p w14:paraId="68C8EBCA" w14:textId="77777777" w:rsidR="00AD3246" w:rsidRDefault="00AD3246">
      <w:pPr>
        <w:spacing w:before="200"/>
      </w:pPr>
    </w:p>
    <w:tbl>
      <w:tblPr>
        <w:tblW w:w="9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720"/>
      </w:tblGrid>
      <w:tr w:rsidR="00AD3246" w14:paraId="04AC1697" w14:textId="77777777">
        <w:tc>
          <w:tcPr>
            <w:tcW w:w="9720" w:type="dxa"/>
            <w:tcBorders>
              <w:top w:val="single" w:sz="1" w:space="0" w:color="BFC9CA"/>
              <w:left w:val="single" w:sz="1" w:space="0" w:color="BFC9CA"/>
              <w:bottom w:val="single" w:sz="1" w:space="0" w:color="BFC9CA"/>
              <w:right w:val="single" w:sz="1" w:space="0" w:color="BFC9CA"/>
            </w:tcBorders>
            <w:shd w:val="clear" w:color="auto" w:fill="D6EAF8"/>
            <w:tcMar>
              <w:top w:w="120" w:type="dxa"/>
              <w:left w:w="200" w:type="dxa"/>
              <w:bottom w:w="120" w:type="dxa"/>
              <w:right w:w="200" w:type="dxa"/>
            </w:tcMar>
          </w:tcPr>
          <w:p w14:paraId="7F0A8E7A" w14:textId="77777777" w:rsidR="00AD3246" w:rsidRDefault="00F87E44">
            <w:r>
              <w:rPr>
                <w:b/>
                <w:bCs/>
                <w:color w:val="1A5276"/>
                <w:sz w:val="22"/>
                <w:szCs w:val="22"/>
              </w:rPr>
              <w:t>Context</w:t>
            </w:r>
          </w:p>
          <w:p w14:paraId="5308E650" w14:textId="77777777" w:rsidR="00AD3246" w:rsidRDefault="00F87E44">
            <w:pPr>
              <w:spacing w:before="60"/>
            </w:pPr>
            <w:r>
              <w:rPr>
                <w:color w:val="2C3E50"/>
              </w:rPr>
              <w:t>For the first time in the Commission's seventy-year history, Member States adopted agreed conclusions through a vote rather than consensus. Eight separate amendments to the agreed conclusions on women's access to justice were presented for adoption. This briefing sets out each amendment factually — what it proposed, what it targeted, and what its real-world consequences would be for women and girls.</w:t>
            </w:r>
          </w:p>
          <w:p w14:paraId="17787EFB" w14:textId="77777777" w:rsidR="00AD3246" w:rsidRDefault="00F87E44">
            <w:pPr>
              <w:spacing w:before="80"/>
            </w:pPr>
            <w:r>
              <w:rPr>
                <w:i/>
                <w:iCs/>
                <w:color w:val="566573"/>
                <w:sz w:val="18"/>
                <w:szCs w:val="18"/>
              </w:rPr>
              <w:t>Note: This document does not attribute amendments to any Member State by name. All analysis is grounded in existing international law, UN expert bodies, and established human rights frameworks.</w:t>
            </w:r>
          </w:p>
        </w:tc>
      </w:tr>
    </w:tbl>
    <w:p w14:paraId="58EB4332" w14:textId="77777777" w:rsidR="00AD3246" w:rsidRDefault="00AD3246">
      <w:pPr>
        <w:spacing w:before="24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360"/>
      </w:tblGrid>
      <w:tr w:rsidR="00AD3246" w14:paraId="753C64B2" w14:textId="77777777">
        <w:tc>
          <w:tcPr>
            <w:tcW w:w="9360" w:type="dxa"/>
            <w:tcBorders>
              <w:top w:val="single" w:sz="1" w:space="0" w:color="BFC9CA"/>
              <w:left w:val="single" w:sz="1" w:space="0" w:color="BFC9CA"/>
              <w:bottom w:val="single" w:sz="1" w:space="0" w:color="BFC9CA"/>
              <w:right w:val="single" w:sz="1" w:space="0" w:color="BFC9CA"/>
            </w:tcBorders>
            <w:shd w:val="clear" w:color="auto" w:fill="1A5276"/>
            <w:tcMar>
              <w:top w:w="100" w:type="dxa"/>
              <w:left w:w="160" w:type="dxa"/>
              <w:bottom w:w="100" w:type="dxa"/>
              <w:right w:w="160" w:type="dxa"/>
            </w:tcMar>
          </w:tcPr>
          <w:p w14:paraId="547DB2AC" w14:textId="77777777" w:rsidR="00AD3246" w:rsidRDefault="00F87E44">
            <w:r>
              <w:rPr>
                <w:b/>
                <w:bCs/>
                <w:color w:val="FFFFFF"/>
                <w:sz w:val="22"/>
                <w:szCs w:val="22"/>
              </w:rPr>
              <w:t>Amendment 1: Restrict the Meaning of 'Gender'</w:t>
            </w:r>
          </w:p>
        </w:tc>
      </w:tr>
      <w:tr w:rsidR="00AD3246" w14:paraId="69C2CE98" w14:textId="77777777">
        <w:tc>
          <w:tcPr>
            <w:tcW w:w="9360" w:type="dxa"/>
            <w:tcBorders>
              <w:top w:val="single" w:sz="1" w:space="0" w:color="BFC9CA"/>
              <w:left w:val="single" w:sz="1" w:space="0" w:color="BFC9CA"/>
              <w:bottom w:val="single" w:sz="1" w:space="0" w:color="BFC9CA"/>
              <w:right w:val="single" w:sz="1" w:space="0" w:color="BFC9CA"/>
            </w:tcBorders>
            <w:shd w:val="clear" w:color="auto" w:fill="F2F3F4"/>
            <w:tcMar>
              <w:top w:w="80" w:type="dxa"/>
              <w:left w:w="160" w:type="dxa"/>
              <w:bottom w:w="80" w:type="dxa"/>
              <w:right w:w="160" w:type="dxa"/>
            </w:tcMar>
          </w:tcPr>
          <w:p w14:paraId="28EFF64E" w14:textId="77777777" w:rsidR="00AD3246" w:rsidRDefault="00F87E44">
            <w:r>
              <w:rPr>
                <w:b/>
                <w:bCs/>
                <w:color w:val="566573"/>
                <w:sz w:val="18"/>
                <w:szCs w:val="18"/>
              </w:rPr>
              <w:t xml:space="preserve">Paragraph Reference: </w:t>
            </w:r>
            <w:r>
              <w:rPr>
                <w:i/>
                <w:iCs/>
                <w:color w:val="566573"/>
                <w:sz w:val="18"/>
                <w:szCs w:val="18"/>
              </w:rPr>
              <w:t>Paragraph 1 — Beijing Declaration and Platform for Action reference</w:t>
            </w:r>
          </w:p>
          <w:p w14:paraId="18C8C88F" w14:textId="77777777" w:rsidR="00AD3246" w:rsidRDefault="00F87E44">
            <w:pPr>
              <w:spacing w:before="60"/>
            </w:pPr>
            <w:r>
              <w:rPr>
                <w:b/>
                <w:bCs/>
                <w:color w:val="566573"/>
                <w:sz w:val="18"/>
                <w:szCs w:val="18"/>
              </w:rPr>
              <w:t xml:space="preserve">Proposed Change: </w:t>
            </w:r>
            <w:r>
              <w:rPr>
                <w:color w:val="566573"/>
                <w:sz w:val="18"/>
                <w:szCs w:val="18"/>
              </w:rPr>
              <w:t>Add a footnote to the term 'Beijing Declaration and Platform for Action' defining gender as referring only to men and women according to biological sex, citing Annex IV of the Report of the Fourth World Conference on Women.</w:t>
            </w:r>
          </w:p>
        </w:tc>
      </w:tr>
    </w:tbl>
    <w:p w14:paraId="717C8358" w14:textId="77777777" w:rsidR="00AD3246" w:rsidRDefault="00F87E44">
      <w:pPr>
        <w:spacing w:before="160" w:after="60"/>
      </w:pPr>
      <w:r>
        <w:rPr>
          <w:b/>
          <w:bCs/>
          <w:color w:val="C0392B"/>
        </w:rPr>
        <w:t>Factual and Legal Problems with This Amendment</w:t>
      </w:r>
    </w:p>
    <w:p w14:paraId="50C7B6E9" w14:textId="77777777" w:rsidR="00AD3246" w:rsidRDefault="00F87E44">
      <w:pPr>
        <w:pStyle w:val="ListParagraph"/>
        <w:numPr>
          <w:ilvl w:val="0"/>
          <w:numId w:val="2"/>
        </w:numPr>
        <w:spacing w:before="40" w:after="60"/>
      </w:pPr>
      <w:r>
        <w:rPr>
          <w:color w:val="2C3E50"/>
        </w:rPr>
        <w:t>Annex IV of the Report of the Fourth World Conference on Women does not define gender as 'men and women.' It expressly states that 'the word gender had been commonly used and understood in its ordinary, generally accepted usage' — it contains no biological definition and makes no reference to 'men and women.'</w:t>
      </w:r>
    </w:p>
    <w:p w14:paraId="18C0F0B9" w14:textId="77777777" w:rsidR="00AD3246" w:rsidRDefault="00F87E44">
      <w:pPr>
        <w:pStyle w:val="ListParagraph"/>
        <w:numPr>
          <w:ilvl w:val="0"/>
          <w:numId w:val="2"/>
        </w:numPr>
        <w:spacing w:before="40" w:after="60"/>
      </w:pPr>
      <w:r>
        <w:rPr>
          <w:color w:val="2C3E50"/>
        </w:rPr>
        <w:t>The proposed footnote misrepresents the content of Annex IV. The contact group that produced Annex IV was informal and its conclusions were read out as a President's statement; they were not negotiated or adopted by the Commission.</w:t>
      </w:r>
    </w:p>
    <w:p w14:paraId="3CDFA826" w14:textId="77777777" w:rsidR="00AD3246" w:rsidRDefault="00F87E44">
      <w:pPr>
        <w:pStyle w:val="ListParagraph"/>
        <w:numPr>
          <w:ilvl w:val="0"/>
          <w:numId w:val="2"/>
        </w:numPr>
        <w:spacing w:before="40" w:after="60"/>
      </w:pPr>
      <w:r>
        <w:rPr>
          <w:color w:val="2C3E50"/>
        </w:rPr>
        <w:t>International jurisprudence on gender equality has evolved significantly since 1995. UN human rights treaty bodies, Special Rapporteurs, and regional human rights courts have consistently interpreted gender to encompass a range of lived experiences beyond a binary biological categorization.</w:t>
      </w:r>
    </w:p>
    <w:p w14:paraId="6B428375" w14:textId="77777777" w:rsidR="00AD3246" w:rsidRDefault="00F87E44">
      <w:pPr>
        <w:pStyle w:val="ListParagraph"/>
        <w:numPr>
          <w:ilvl w:val="0"/>
          <w:numId w:val="2"/>
        </w:numPr>
        <w:spacing w:before="40" w:after="60"/>
      </w:pPr>
      <w:r>
        <w:rPr>
          <w:color w:val="2C3E50"/>
        </w:rPr>
        <w:t>A retroactive redefinition through footnote would affect the scope of all gender equality mandates across UN agencies, subsidiary bodies, and treaty mechanisms — none of which were consulted in this process.</w:t>
      </w:r>
    </w:p>
    <w:p w14:paraId="71BA0E8C" w14:textId="77777777" w:rsidR="00AD3246" w:rsidRDefault="00F87E44">
      <w:pPr>
        <w:spacing w:before="160" w:after="60"/>
      </w:pPr>
      <w:r>
        <w:rPr>
          <w:b/>
          <w:bCs/>
          <w:color w:val="C0392B"/>
        </w:rPr>
        <w:t>Real-World Consequences</w:t>
      </w:r>
    </w:p>
    <w:p w14:paraId="09CCF20C" w14:textId="77777777" w:rsidR="00AD3246" w:rsidRDefault="00F87E44">
      <w:pPr>
        <w:pStyle w:val="ListParagraph"/>
        <w:numPr>
          <w:ilvl w:val="0"/>
          <w:numId w:val="2"/>
        </w:numPr>
        <w:spacing w:before="40" w:after="60"/>
      </w:pPr>
      <w:r>
        <w:rPr>
          <w:color w:val="2C3E50"/>
        </w:rPr>
        <w:t xml:space="preserve">Women and girls who face discrimination </w:t>
      </w:r>
      <w:proofErr w:type="gramStart"/>
      <w:r>
        <w:rPr>
          <w:color w:val="2C3E50"/>
        </w:rPr>
        <w:t>on the basis of</w:t>
      </w:r>
      <w:proofErr w:type="gramEnd"/>
      <w:r>
        <w:rPr>
          <w:color w:val="2C3E50"/>
        </w:rPr>
        <w:t xml:space="preserve"> gender expression, gender identity, or non-conformity with gender norms would lose access to protection frameworks built on the current, broader interpretation.</w:t>
      </w:r>
    </w:p>
    <w:p w14:paraId="166E5A1A" w14:textId="77777777" w:rsidR="00AD3246" w:rsidRDefault="00F87E44">
      <w:pPr>
        <w:pStyle w:val="ListParagraph"/>
        <w:numPr>
          <w:ilvl w:val="0"/>
          <w:numId w:val="2"/>
        </w:numPr>
        <w:spacing w:before="40" w:after="60"/>
      </w:pPr>
      <w:r>
        <w:rPr>
          <w:color w:val="2C3E50"/>
        </w:rPr>
        <w:t>Setting this precedent would allow any Member State to use a similar mechanism to retroactively narrow or reinterpret other foundational UN outcome documents.</w:t>
      </w:r>
    </w:p>
    <w:p w14:paraId="22836393" w14:textId="77777777" w:rsidR="00AD3246" w:rsidRDefault="00AD3246">
      <w:pPr>
        <w:spacing w:before="20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360"/>
      </w:tblGrid>
      <w:tr w:rsidR="00AD3246" w14:paraId="17CCB234" w14:textId="77777777">
        <w:tc>
          <w:tcPr>
            <w:tcW w:w="9360" w:type="dxa"/>
            <w:tcBorders>
              <w:top w:val="single" w:sz="1" w:space="0" w:color="BFC9CA"/>
              <w:left w:val="single" w:sz="1" w:space="0" w:color="BFC9CA"/>
              <w:bottom w:val="single" w:sz="1" w:space="0" w:color="BFC9CA"/>
              <w:right w:val="single" w:sz="1" w:space="0" w:color="BFC9CA"/>
            </w:tcBorders>
            <w:shd w:val="clear" w:color="auto" w:fill="1A5276"/>
            <w:tcMar>
              <w:top w:w="100" w:type="dxa"/>
              <w:left w:w="160" w:type="dxa"/>
              <w:bottom w:w="100" w:type="dxa"/>
              <w:right w:w="160" w:type="dxa"/>
            </w:tcMar>
          </w:tcPr>
          <w:p w14:paraId="258FC6DC" w14:textId="77777777" w:rsidR="00AD3246" w:rsidRDefault="00F87E44">
            <w:r>
              <w:rPr>
                <w:b/>
                <w:bCs/>
                <w:color w:val="FFFFFF"/>
                <w:sz w:val="22"/>
                <w:szCs w:val="22"/>
              </w:rPr>
              <w:t>Amendment 2: Qualify 'Review Conferences' Reference</w:t>
            </w:r>
          </w:p>
        </w:tc>
      </w:tr>
      <w:tr w:rsidR="00AD3246" w14:paraId="1FC19DB6" w14:textId="77777777">
        <w:tc>
          <w:tcPr>
            <w:tcW w:w="9360" w:type="dxa"/>
            <w:tcBorders>
              <w:top w:val="single" w:sz="1" w:space="0" w:color="BFC9CA"/>
              <w:left w:val="single" w:sz="1" w:space="0" w:color="BFC9CA"/>
              <w:bottom w:val="single" w:sz="1" w:space="0" w:color="BFC9CA"/>
              <w:right w:val="single" w:sz="1" w:space="0" w:color="BFC9CA"/>
            </w:tcBorders>
            <w:shd w:val="clear" w:color="auto" w:fill="F2F3F4"/>
            <w:tcMar>
              <w:top w:w="80" w:type="dxa"/>
              <w:left w:w="160" w:type="dxa"/>
              <w:bottom w:w="80" w:type="dxa"/>
              <w:right w:w="160" w:type="dxa"/>
            </w:tcMar>
          </w:tcPr>
          <w:p w14:paraId="22DD24EC" w14:textId="77777777" w:rsidR="00AD3246" w:rsidRDefault="00F87E44">
            <w:r>
              <w:rPr>
                <w:b/>
                <w:bCs/>
                <w:color w:val="566573"/>
                <w:sz w:val="18"/>
                <w:szCs w:val="18"/>
              </w:rPr>
              <w:t xml:space="preserve">Paragraph Reference: </w:t>
            </w:r>
            <w:r>
              <w:rPr>
                <w:i/>
                <w:iCs/>
                <w:color w:val="566573"/>
                <w:sz w:val="18"/>
                <w:szCs w:val="18"/>
              </w:rPr>
              <w:t>Paragraph R — Review conferences</w:t>
            </w:r>
          </w:p>
          <w:p w14:paraId="18DE35C6" w14:textId="77777777" w:rsidR="00AD3246" w:rsidRDefault="00F87E44">
            <w:pPr>
              <w:spacing w:before="60"/>
            </w:pPr>
            <w:r>
              <w:rPr>
                <w:b/>
                <w:bCs/>
                <w:color w:val="566573"/>
                <w:sz w:val="18"/>
                <w:szCs w:val="18"/>
              </w:rPr>
              <w:t xml:space="preserve">Proposed Change: </w:t>
            </w:r>
            <w:r>
              <w:rPr>
                <w:color w:val="566573"/>
                <w:sz w:val="18"/>
                <w:szCs w:val="18"/>
              </w:rPr>
              <w:t>Insert the qualifier 'adopted by the General Assembly' after the words 'review conferences' in paragraph R, to restrict which review conferences are recognized.</w:t>
            </w:r>
          </w:p>
        </w:tc>
      </w:tr>
    </w:tbl>
    <w:p w14:paraId="61CC0C1B" w14:textId="77777777" w:rsidR="00AD3246" w:rsidRDefault="00F87E44">
      <w:pPr>
        <w:spacing w:before="160" w:after="60"/>
      </w:pPr>
      <w:r>
        <w:rPr>
          <w:b/>
          <w:bCs/>
          <w:color w:val="C0392B"/>
        </w:rPr>
        <w:t>Factual and Legal Analysis</w:t>
      </w:r>
    </w:p>
    <w:p w14:paraId="6BF96277" w14:textId="77777777" w:rsidR="00AD3246" w:rsidRDefault="00F87E44">
      <w:pPr>
        <w:pStyle w:val="ListParagraph"/>
        <w:numPr>
          <w:ilvl w:val="0"/>
          <w:numId w:val="2"/>
        </w:numPr>
        <w:spacing w:before="40" w:after="60"/>
      </w:pPr>
      <w:r>
        <w:rPr>
          <w:color w:val="2C3E50"/>
        </w:rPr>
        <w:lastRenderedPageBreak/>
        <w:t>This amendment would narrow the set of intergovernmental review mechanisms whose outcomes are recognized as authoritative, potentially excluding regional and thematic review processes that have been central to monitoring implementation of women's rights commitments.</w:t>
      </w:r>
    </w:p>
    <w:p w14:paraId="59435655" w14:textId="77777777" w:rsidR="00AD3246" w:rsidRDefault="00F87E44">
      <w:pPr>
        <w:pStyle w:val="ListParagraph"/>
        <w:numPr>
          <w:ilvl w:val="0"/>
          <w:numId w:val="2"/>
        </w:numPr>
        <w:spacing w:before="40" w:after="60"/>
      </w:pPr>
      <w:r>
        <w:rPr>
          <w:color w:val="2C3E50"/>
        </w:rPr>
        <w:t>The stated concern — that sexual and reproductive health terminology has acquired 'controversial meanings' in UN policies including 'abortion rights, radical gender ideology and sexual autonomy for children' — reflects a policy preference, not a legal objection. These characterizations are not recognized classifications in international human rights law.</w:t>
      </w:r>
    </w:p>
    <w:p w14:paraId="0753D253" w14:textId="77777777" w:rsidR="00AD3246" w:rsidRDefault="00F87E44">
      <w:pPr>
        <w:spacing w:before="160" w:after="60"/>
      </w:pPr>
      <w:r>
        <w:rPr>
          <w:b/>
          <w:bCs/>
          <w:color w:val="C0392B"/>
        </w:rPr>
        <w:t>Real-World Consequences</w:t>
      </w:r>
    </w:p>
    <w:p w14:paraId="35B86CA8" w14:textId="77777777" w:rsidR="00AD3246" w:rsidRDefault="00F87E44">
      <w:pPr>
        <w:pStyle w:val="ListParagraph"/>
        <w:numPr>
          <w:ilvl w:val="0"/>
          <w:numId w:val="2"/>
        </w:numPr>
        <w:spacing w:before="40" w:after="60"/>
      </w:pPr>
      <w:r>
        <w:rPr>
          <w:color w:val="2C3E50"/>
        </w:rPr>
        <w:t>Restricting recognized review processes would weaken accountability mechanisms for implementing commitments made to women and girls at all levels of governance.</w:t>
      </w:r>
    </w:p>
    <w:p w14:paraId="7F2D2CD6" w14:textId="77777777" w:rsidR="00AD3246" w:rsidRDefault="00F87E44">
      <w:pPr>
        <w:pStyle w:val="ListParagraph"/>
        <w:numPr>
          <w:ilvl w:val="0"/>
          <w:numId w:val="2"/>
        </w:numPr>
        <w:spacing w:before="40" w:after="60"/>
      </w:pPr>
      <w:r>
        <w:rPr>
          <w:color w:val="2C3E50"/>
        </w:rPr>
        <w:t>It would create a hierarchy among intergovernmental outcomes that has no basis in existing UN procedural rules.</w:t>
      </w:r>
    </w:p>
    <w:p w14:paraId="031E1CB6" w14:textId="77777777" w:rsidR="00AD3246" w:rsidRDefault="00AD3246">
      <w:pPr>
        <w:spacing w:before="20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360"/>
      </w:tblGrid>
      <w:tr w:rsidR="00AD3246" w14:paraId="7676A657" w14:textId="77777777">
        <w:tc>
          <w:tcPr>
            <w:tcW w:w="9360" w:type="dxa"/>
            <w:tcBorders>
              <w:top w:val="single" w:sz="1" w:space="0" w:color="BFC9CA"/>
              <w:left w:val="single" w:sz="1" w:space="0" w:color="BFC9CA"/>
              <w:bottom w:val="single" w:sz="1" w:space="0" w:color="BFC9CA"/>
              <w:right w:val="single" w:sz="1" w:space="0" w:color="BFC9CA"/>
            </w:tcBorders>
            <w:shd w:val="clear" w:color="auto" w:fill="1A5276"/>
            <w:tcMar>
              <w:top w:w="100" w:type="dxa"/>
              <w:left w:w="160" w:type="dxa"/>
              <w:bottom w:w="100" w:type="dxa"/>
              <w:right w:w="160" w:type="dxa"/>
            </w:tcMar>
          </w:tcPr>
          <w:p w14:paraId="3540151C" w14:textId="77777777" w:rsidR="00AD3246" w:rsidRDefault="00F87E44">
            <w:r>
              <w:rPr>
                <w:b/>
                <w:bCs/>
                <w:color w:val="FFFFFF"/>
                <w:sz w:val="22"/>
                <w:szCs w:val="22"/>
              </w:rPr>
              <w:t>Amendment 3: Condition Sexual and Reproductive Health Language on National Law</w:t>
            </w:r>
          </w:p>
        </w:tc>
      </w:tr>
      <w:tr w:rsidR="00AD3246" w14:paraId="340B0F0C" w14:textId="77777777">
        <w:tc>
          <w:tcPr>
            <w:tcW w:w="9360" w:type="dxa"/>
            <w:tcBorders>
              <w:top w:val="single" w:sz="1" w:space="0" w:color="BFC9CA"/>
              <w:left w:val="single" w:sz="1" w:space="0" w:color="BFC9CA"/>
              <w:bottom w:val="single" w:sz="1" w:space="0" w:color="BFC9CA"/>
              <w:right w:val="single" w:sz="1" w:space="0" w:color="BFC9CA"/>
            </w:tcBorders>
            <w:shd w:val="clear" w:color="auto" w:fill="F2F3F4"/>
            <w:tcMar>
              <w:top w:w="80" w:type="dxa"/>
              <w:left w:w="160" w:type="dxa"/>
              <w:bottom w:w="80" w:type="dxa"/>
              <w:right w:w="160" w:type="dxa"/>
            </w:tcMar>
          </w:tcPr>
          <w:p w14:paraId="40D86046" w14:textId="77777777" w:rsidR="00AD3246" w:rsidRDefault="00F87E44">
            <w:r>
              <w:rPr>
                <w:b/>
                <w:bCs/>
                <w:color w:val="566573"/>
                <w:sz w:val="18"/>
                <w:szCs w:val="18"/>
              </w:rPr>
              <w:t xml:space="preserve">Paragraph Reference: </w:t>
            </w:r>
            <w:r>
              <w:rPr>
                <w:i/>
                <w:iCs/>
                <w:color w:val="566573"/>
                <w:sz w:val="18"/>
                <w:szCs w:val="18"/>
              </w:rPr>
              <w:t>Paragraph Z — Sexual and reproductive health programming</w:t>
            </w:r>
          </w:p>
          <w:p w14:paraId="47F24342" w14:textId="77777777" w:rsidR="00AD3246" w:rsidRDefault="00F87E44">
            <w:pPr>
              <w:spacing w:before="60"/>
            </w:pPr>
            <w:r>
              <w:rPr>
                <w:b/>
                <w:bCs/>
                <w:color w:val="566573"/>
                <w:sz w:val="18"/>
                <w:szCs w:val="18"/>
              </w:rPr>
              <w:t xml:space="preserve">Proposed Change: </w:t>
            </w:r>
            <w:r>
              <w:rPr>
                <w:color w:val="566573"/>
                <w:sz w:val="18"/>
                <w:szCs w:val="18"/>
              </w:rPr>
              <w:t>Insert 'and in accordance with national laws and policies' after 'sexual and reproductive health' in paragraph Z.</w:t>
            </w:r>
          </w:p>
        </w:tc>
      </w:tr>
    </w:tbl>
    <w:p w14:paraId="274D118F" w14:textId="77777777" w:rsidR="00AD3246" w:rsidRDefault="00F87E44">
      <w:pPr>
        <w:spacing w:before="160" w:after="60"/>
      </w:pPr>
      <w:r>
        <w:rPr>
          <w:b/>
          <w:bCs/>
          <w:color w:val="C0392B"/>
        </w:rPr>
        <w:t>Factual and Legal Analysis</w:t>
      </w:r>
    </w:p>
    <w:p w14:paraId="52A75864" w14:textId="77777777" w:rsidR="00AD3246" w:rsidRDefault="00F87E44">
      <w:pPr>
        <w:pStyle w:val="ListParagraph"/>
        <w:numPr>
          <w:ilvl w:val="0"/>
          <w:numId w:val="2"/>
        </w:numPr>
        <w:spacing w:before="40" w:after="60"/>
      </w:pPr>
      <w:r>
        <w:rPr>
          <w:color w:val="2C3E50"/>
        </w:rPr>
        <w:t>This amendment would subordinate international SRH standards to national law — effectively allowing domestic legislation to override internationally agreed human rights standards.</w:t>
      </w:r>
    </w:p>
    <w:p w14:paraId="78F6CC11" w14:textId="77777777" w:rsidR="00AD3246" w:rsidRDefault="00F87E44">
      <w:pPr>
        <w:pStyle w:val="ListParagraph"/>
        <w:numPr>
          <w:ilvl w:val="0"/>
          <w:numId w:val="2"/>
        </w:numPr>
        <w:spacing w:before="40" w:after="60"/>
      </w:pPr>
      <w:r>
        <w:rPr>
          <w:color w:val="2C3E50"/>
        </w:rPr>
        <w:t xml:space="preserve">The ICPD </w:t>
      </w:r>
      <w:proofErr w:type="spellStart"/>
      <w:r>
        <w:rPr>
          <w:color w:val="2C3E50"/>
        </w:rPr>
        <w:t>Programme</w:t>
      </w:r>
      <w:proofErr w:type="spellEnd"/>
      <w:r>
        <w:rPr>
          <w:color w:val="2C3E50"/>
        </w:rPr>
        <w:t xml:space="preserve"> of Action (paragraph 8.25), cited in support of this amendment, was produced in 1994 and represents one element of a much larger body of international consensus. Selectively quoting it to override subsequent developments in international standards is methodologically inconsistent.</w:t>
      </w:r>
    </w:p>
    <w:p w14:paraId="2EFF9CEA" w14:textId="77777777" w:rsidR="00AD3246" w:rsidRDefault="00F87E44">
      <w:pPr>
        <w:pStyle w:val="ListParagraph"/>
        <w:numPr>
          <w:ilvl w:val="0"/>
          <w:numId w:val="2"/>
        </w:numPr>
        <w:spacing w:before="40" w:after="60"/>
      </w:pPr>
      <w:r>
        <w:rPr>
          <w:color w:val="2C3E50"/>
        </w:rPr>
        <w:t>International human rights bodies including the Committee on the Elimination of Discrimination Against Women (CEDAW Committee) and the Human Rights Committee have affirmed that access to sexual and reproductive health services is a component of the right to health and the right to be free from discrimination.</w:t>
      </w:r>
    </w:p>
    <w:p w14:paraId="1F3396B3" w14:textId="77777777" w:rsidR="00AD3246" w:rsidRDefault="00F87E44">
      <w:pPr>
        <w:spacing w:before="160" w:after="60"/>
      </w:pPr>
      <w:r>
        <w:rPr>
          <w:b/>
          <w:bCs/>
          <w:color w:val="C0392B"/>
        </w:rPr>
        <w:t>Real-World Consequences</w:t>
      </w:r>
    </w:p>
    <w:p w14:paraId="192914C4" w14:textId="77777777" w:rsidR="00AD3246" w:rsidRDefault="00F87E44">
      <w:pPr>
        <w:pStyle w:val="ListParagraph"/>
        <w:numPr>
          <w:ilvl w:val="0"/>
          <w:numId w:val="2"/>
        </w:numPr>
        <w:spacing w:before="40" w:after="60"/>
      </w:pPr>
      <w:r>
        <w:rPr>
          <w:color w:val="2C3E50"/>
        </w:rPr>
        <w:t>Women and girls in countries with restrictive national laws — including those criminalizing abortion even in cases of rape, incest, or life-threatening pregnancy — would be denied the protection of international standards.</w:t>
      </w:r>
    </w:p>
    <w:p w14:paraId="580E5E78" w14:textId="77777777" w:rsidR="00AD3246" w:rsidRDefault="00F87E44">
      <w:pPr>
        <w:pStyle w:val="ListParagraph"/>
        <w:numPr>
          <w:ilvl w:val="0"/>
          <w:numId w:val="2"/>
        </w:numPr>
        <w:spacing w:before="40" w:after="60"/>
      </w:pPr>
      <w:r>
        <w:rPr>
          <w:color w:val="2C3E50"/>
        </w:rPr>
        <w:t>This amendment would disproportionately affect women and girls in conflict and post-conflict settings, where national legal systems may be absent, collapsed, or themselves sources of harm.</w:t>
      </w:r>
    </w:p>
    <w:p w14:paraId="3A4B156F" w14:textId="77777777" w:rsidR="00AD3246" w:rsidRDefault="00AD3246">
      <w:pPr>
        <w:spacing w:before="20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360"/>
      </w:tblGrid>
      <w:tr w:rsidR="00AD3246" w14:paraId="32977216" w14:textId="77777777">
        <w:tc>
          <w:tcPr>
            <w:tcW w:w="9360" w:type="dxa"/>
            <w:tcBorders>
              <w:top w:val="single" w:sz="1" w:space="0" w:color="BFC9CA"/>
              <w:left w:val="single" w:sz="1" w:space="0" w:color="BFC9CA"/>
              <w:bottom w:val="single" w:sz="1" w:space="0" w:color="BFC9CA"/>
              <w:right w:val="single" w:sz="1" w:space="0" w:color="BFC9CA"/>
            </w:tcBorders>
            <w:shd w:val="clear" w:color="auto" w:fill="1A5276"/>
            <w:tcMar>
              <w:top w:w="100" w:type="dxa"/>
              <w:left w:w="160" w:type="dxa"/>
              <w:bottom w:w="100" w:type="dxa"/>
              <w:right w:w="160" w:type="dxa"/>
            </w:tcMar>
          </w:tcPr>
          <w:p w14:paraId="6D82161E" w14:textId="77777777" w:rsidR="00AD3246" w:rsidRDefault="00F87E44">
            <w:r>
              <w:rPr>
                <w:b/>
                <w:bCs/>
                <w:color w:val="FFFFFF"/>
                <w:sz w:val="22"/>
                <w:szCs w:val="22"/>
              </w:rPr>
              <w:t>Amendment 4: Delete 'Multiple and Intersecting Forms of Discrimination'</w:t>
            </w:r>
          </w:p>
        </w:tc>
      </w:tr>
      <w:tr w:rsidR="00AD3246" w14:paraId="1C7AEF4E" w14:textId="77777777">
        <w:tc>
          <w:tcPr>
            <w:tcW w:w="9360" w:type="dxa"/>
            <w:tcBorders>
              <w:top w:val="single" w:sz="1" w:space="0" w:color="BFC9CA"/>
              <w:left w:val="single" w:sz="1" w:space="0" w:color="BFC9CA"/>
              <w:bottom w:val="single" w:sz="1" w:space="0" w:color="BFC9CA"/>
              <w:right w:val="single" w:sz="1" w:space="0" w:color="BFC9CA"/>
            </w:tcBorders>
            <w:shd w:val="clear" w:color="auto" w:fill="F2F3F4"/>
            <w:tcMar>
              <w:top w:w="80" w:type="dxa"/>
              <w:left w:w="160" w:type="dxa"/>
              <w:bottom w:w="80" w:type="dxa"/>
              <w:right w:w="160" w:type="dxa"/>
            </w:tcMar>
          </w:tcPr>
          <w:p w14:paraId="77009320" w14:textId="77777777" w:rsidR="00AD3246" w:rsidRDefault="00F87E44">
            <w:r>
              <w:rPr>
                <w:b/>
                <w:bCs/>
                <w:color w:val="566573"/>
                <w:sz w:val="18"/>
                <w:szCs w:val="18"/>
              </w:rPr>
              <w:t xml:space="preserve">Paragraph Reference: </w:t>
            </w:r>
            <w:r>
              <w:rPr>
                <w:i/>
                <w:iCs/>
                <w:color w:val="566573"/>
                <w:sz w:val="18"/>
                <w:szCs w:val="18"/>
              </w:rPr>
              <w:t>Paragraph 6 — Non-discrimination framework</w:t>
            </w:r>
          </w:p>
          <w:p w14:paraId="6C192A5C" w14:textId="77777777" w:rsidR="00AD3246" w:rsidRDefault="00F87E44">
            <w:pPr>
              <w:spacing w:before="60"/>
            </w:pPr>
            <w:r>
              <w:rPr>
                <w:b/>
                <w:bCs/>
                <w:color w:val="566573"/>
                <w:sz w:val="18"/>
                <w:szCs w:val="18"/>
              </w:rPr>
              <w:t xml:space="preserve">Proposed Change: </w:t>
            </w:r>
            <w:r>
              <w:rPr>
                <w:color w:val="566573"/>
                <w:sz w:val="18"/>
                <w:szCs w:val="18"/>
              </w:rPr>
              <w:t>Delete the phrase 'multiple and intersecting forms of discrimination' from paragraph 6.</w:t>
            </w:r>
          </w:p>
        </w:tc>
      </w:tr>
    </w:tbl>
    <w:p w14:paraId="333B3BC2" w14:textId="77777777" w:rsidR="00AD3246" w:rsidRDefault="00F87E44">
      <w:pPr>
        <w:spacing w:before="160" w:after="60"/>
      </w:pPr>
      <w:r>
        <w:rPr>
          <w:b/>
          <w:bCs/>
          <w:color w:val="C0392B"/>
        </w:rPr>
        <w:t>Factual and Legal Analysis</w:t>
      </w:r>
    </w:p>
    <w:p w14:paraId="027052B4" w14:textId="77777777" w:rsidR="00AD3246" w:rsidRDefault="00F87E44">
      <w:pPr>
        <w:pStyle w:val="ListParagraph"/>
        <w:numPr>
          <w:ilvl w:val="0"/>
          <w:numId w:val="2"/>
        </w:numPr>
        <w:spacing w:before="40" w:after="60"/>
      </w:pPr>
      <w:r>
        <w:rPr>
          <w:color w:val="2C3E50"/>
        </w:rPr>
        <w:t>'Multiple and intersecting forms of discrimination' is an established legal concept rooted in the CEDAW Committee's General Recommendation No. 28 and the work of the Special Rapporteur on Violence Against Women. It reflects the reality that discrimination operates across overlapping axes of identity simultaneously.</w:t>
      </w:r>
    </w:p>
    <w:p w14:paraId="2A2172F9" w14:textId="77777777" w:rsidR="00AD3246" w:rsidRDefault="00F87E44">
      <w:pPr>
        <w:pStyle w:val="ListParagraph"/>
        <w:numPr>
          <w:ilvl w:val="0"/>
          <w:numId w:val="2"/>
        </w:numPr>
        <w:spacing w:before="40" w:after="60"/>
      </w:pPr>
      <w:r>
        <w:rPr>
          <w:color w:val="2C3E50"/>
        </w:rPr>
        <w:t>Characterizing this as 'diversity, equity and inclusion' policy misrepresents the concept. Intersectionality is a legal and empirical framework for understanding compounded disadvantage — not a preferential treatment policy.</w:t>
      </w:r>
    </w:p>
    <w:p w14:paraId="60447B0C" w14:textId="77777777" w:rsidR="00AD3246" w:rsidRDefault="00F87E44">
      <w:pPr>
        <w:pStyle w:val="ListParagraph"/>
        <w:numPr>
          <w:ilvl w:val="0"/>
          <w:numId w:val="2"/>
        </w:numPr>
        <w:spacing w:before="40" w:after="60"/>
      </w:pPr>
      <w:r>
        <w:rPr>
          <w:color w:val="2C3E50"/>
        </w:rPr>
        <w:t>Deleting this phrase would leave a significant gap in the non-discrimination framework, removing explicit recognition of the compounding harms faced by the most marginalized women and girls.</w:t>
      </w:r>
    </w:p>
    <w:p w14:paraId="3E315BDE" w14:textId="77777777" w:rsidR="00AD3246" w:rsidRDefault="00F87E44">
      <w:pPr>
        <w:spacing w:before="160" w:after="60"/>
      </w:pPr>
      <w:r>
        <w:rPr>
          <w:b/>
          <w:bCs/>
          <w:color w:val="C0392B"/>
        </w:rPr>
        <w:lastRenderedPageBreak/>
        <w:t>Groups Whose Protections Would Be Eroded</w:t>
      </w:r>
    </w:p>
    <w:p w14:paraId="069E2BB1" w14:textId="77777777" w:rsidR="00AD3246" w:rsidRDefault="00F87E44">
      <w:pPr>
        <w:pStyle w:val="ListParagraph"/>
        <w:numPr>
          <w:ilvl w:val="1"/>
          <w:numId w:val="3"/>
        </w:numPr>
        <w:spacing w:before="30" w:after="40"/>
      </w:pPr>
      <w:r>
        <w:rPr>
          <w:color w:val="566573"/>
        </w:rPr>
        <w:t>Older women, who face simultaneous age-based and gender-based discrimination</w:t>
      </w:r>
    </w:p>
    <w:p w14:paraId="7CFEE92F" w14:textId="77777777" w:rsidR="00AD3246" w:rsidRDefault="00F87E44">
      <w:pPr>
        <w:pStyle w:val="ListParagraph"/>
        <w:numPr>
          <w:ilvl w:val="1"/>
          <w:numId w:val="3"/>
        </w:numPr>
        <w:spacing w:before="30" w:after="40"/>
      </w:pPr>
      <w:r>
        <w:rPr>
          <w:color w:val="566573"/>
        </w:rPr>
        <w:t>Women and girls with disabilities, for whom disability and gender interact to produce distinct and compounded barriers to justice</w:t>
      </w:r>
    </w:p>
    <w:p w14:paraId="5A449FA4" w14:textId="77777777" w:rsidR="00AD3246" w:rsidRDefault="00F87E44">
      <w:pPr>
        <w:pStyle w:val="ListParagraph"/>
        <w:numPr>
          <w:ilvl w:val="1"/>
          <w:numId w:val="3"/>
        </w:numPr>
        <w:spacing w:before="30" w:after="40"/>
      </w:pPr>
      <w:r>
        <w:rPr>
          <w:color w:val="566573"/>
        </w:rPr>
        <w:t>Women in rural and remote areas, facing geographic, economic, and gender-based exclusion</w:t>
      </w:r>
    </w:p>
    <w:p w14:paraId="15AD4241" w14:textId="77777777" w:rsidR="00AD3246" w:rsidRDefault="00F87E44">
      <w:pPr>
        <w:pStyle w:val="ListParagraph"/>
        <w:numPr>
          <w:ilvl w:val="1"/>
          <w:numId w:val="3"/>
        </w:numPr>
        <w:spacing w:before="30" w:after="40"/>
      </w:pPr>
      <w:r>
        <w:rPr>
          <w:color w:val="566573"/>
        </w:rPr>
        <w:t>Women from ethnic, racial, and religious minority communities</w:t>
      </w:r>
    </w:p>
    <w:p w14:paraId="32D36BC4" w14:textId="77777777" w:rsidR="00AD3246" w:rsidRDefault="00F87E44">
      <w:pPr>
        <w:pStyle w:val="ListParagraph"/>
        <w:numPr>
          <w:ilvl w:val="1"/>
          <w:numId w:val="3"/>
        </w:numPr>
        <w:spacing w:before="30" w:after="40"/>
      </w:pPr>
      <w:r>
        <w:rPr>
          <w:color w:val="566573"/>
        </w:rPr>
        <w:t>Migrant women and girls, including those without legal status</w:t>
      </w:r>
    </w:p>
    <w:p w14:paraId="73DA01DC" w14:textId="77777777" w:rsidR="00AD3246" w:rsidRDefault="00F87E44">
      <w:pPr>
        <w:pStyle w:val="ListParagraph"/>
        <w:numPr>
          <w:ilvl w:val="1"/>
          <w:numId w:val="3"/>
        </w:numPr>
        <w:spacing w:before="30" w:after="40"/>
      </w:pPr>
      <w:r>
        <w:rPr>
          <w:color w:val="566573"/>
        </w:rPr>
        <w:t>Women and girls living in poverty, for whom economic vulnerability amplifies all other forms of discrimination</w:t>
      </w:r>
    </w:p>
    <w:p w14:paraId="0D8655F4" w14:textId="77777777" w:rsidR="00AD3246" w:rsidRDefault="00F87E44">
      <w:pPr>
        <w:pStyle w:val="ListParagraph"/>
        <w:numPr>
          <w:ilvl w:val="1"/>
          <w:numId w:val="3"/>
        </w:numPr>
        <w:spacing w:before="30" w:after="40"/>
      </w:pPr>
      <w:r>
        <w:rPr>
          <w:color w:val="566573"/>
        </w:rPr>
        <w:t>Young women and adolescent girls navigating age, gender, and social status simultaneously</w:t>
      </w:r>
    </w:p>
    <w:p w14:paraId="759C1CDF" w14:textId="77777777" w:rsidR="00AD3246" w:rsidRDefault="00F87E44">
      <w:pPr>
        <w:spacing w:before="160" w:after="60"/>
      </w:pPr>
      <w:r>
        <w:rPr>
          <w:b/>
          <w:bCs/>
          <w:color w:val="C0392B"/>
        </w:rPr>
        <w:t>Real-World Consequences</w:t>
      </w:r>
    </w:p>
    <w:p w14:paraId="010C8FCD" w14:textId="77777777" w:rsidR="00AD3246" w:rsidRDefault="00F87E44">
      <w:pPr>
        <w:pStyle w:val="ListParagraph"/>
        <w:numPr>
          <w:ilvl w:val="0"/>
          <w:numId w:val="2"/>
        </w:numPr>
        <w:spacing w:before="40" w:after="60"/>
      </w:pPr>
      <w:r>
        <w:rPr>
          <w:color w:val="2C3E50"/>
        </w:rPr>
        <w:t>Without this framework, legal and policy responses to violence and discrimination default to a single-axis model that systematically fails the women and girls most at risk.</w:t>
      </w:r>
    </w:p>
    <w:p w14:paraId="59F55774" w14:textId="77777777" w:rsidR="00AD3246" w:rsidRDefault="00F87E44">
      <w:pPr>
        <w:pStyle w:val="ListParagraph"/>
        <w:numPr>
          <w:ilvl w:val="0"/>
          <w:numId w:val="2"/>
        </w:numPr>
        <w:spacing w:before="40" w:after="60"/>
      </w:pPr>
      <w:r>
        <w:rPr>
          <w:color w:val="2C3E50"/>
        </w:rPr>
        <w:t>Access to justice mechanisms — legal aid, redress, specialized courts, and support services — would no longer be designed to account for the compounded barriers these groups face.</w:t>
      </w:r>
    </w:p>
    <w:p w14:paraId="3428EEE2" w14:textId="77777777" w:rsidR="00AD3246" w:rsidRDefault="00AD3246">
      <w:pPr>
        <w:spacing w:before="20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360"/>
      </w:tblGrid>
      <w:tr w:rsidR="00AD3246" w14:paraId="28576649" w14:textId="77777777">
        <w:tc>
          <w:tcPr>
            <w:tcW w:w="9360" w:type="dxa"/>
            <w:tcBorders>
              <w:top w:val="single" w:sz="1" w:space="0" w:color="BFC9CA"/>
              <w:left w:val="single" w:sz="1" w:space="0" w:color="BFC9CA"/>
              <w:bottom w:val="single" w:sz="1" w:space="0" w:color="BFC9CA"/>
              <w:right w:val="single" w:sz="1" w:space="0" w:color="BFC9CA"/>
            </w:tcBorders>
            <w:shd w:val="clear" w:color="auto" w:fill="1A5276"/>
            <w:tcMar>
              <w:top w:w="100" w:type="dxa"/>
              <w:left w:w="160" w:type="dxa"/>
              <w:bottom w:w="100" w:type="dxa"/>
              <w:right w:w="160" w:type="dxa"/>
            </w:tcMar>
          </w:tcPr>
          <w:p w14:paraId="21612F11" w14:textId="77777777" w:rsidR="00AD3246" w:rsidRDefault="00F87E44">
            <w:r>
              <w:rPr>
                <w:b/>
                <w:bCs/>
                <w:color w:val="FFFFFF"/>
                <w:sz w:val="22"/>
                <w:szCs w:val="22"/>
              </w:rPr>
              <w:t>Amendment 5: Delete Reference to Disinformation, Misinformation, and Hate Speech</w:t>
            </w:r>
          </w:p>
        </w:tc>
      </w:tr>
      <w:tr w:rsidR="00AD3246" w14:paraId="2C3365FD" w14:textId="77777777">
        <w:tc>
          <w:tcPr>
            <w:tcW w:w="9360" w:type="dxa"/>
            <w:tcBorders>
              <w:top w:val="single" w:sz="1" w:space="0" w:color="BFC9CA"/>
              <w:left w:val="single" w:sz="1" w:space="0" w:color="BFC9CA"/>
              <w:bottom w:val="single" w:sz="1" w:space="0" w:color="BFC9CA"/>
              <w:right w:val="single" w:sz="1" w:space="0" w:color="BFC9CA"/>
            </w:tcBorders>
            <w:shd w:val="clear" w:color="auto" w:fill="F2F3F4"/>
            <w:tcMar>
              <w:top w:w="80" w:type="dxa"/>
              <w:left w:w="160" w:type="dxa"/>
              <w:bottom w:w="80" w:type="dxa"/>
              <w:right w:w="160" w:type="dxa"/>
            </w:tcMar>
          </w:tcPr>
          <w:p w14:paraId="3BFBC075" w14:textId="77777777" w:rsidR="00AD3246" w:rsidRDefault="00F87E44">
            <w:r>
              <w:rPr>
                <w:b/>
                <w:bCs/>
                <w:color w:val="566573"/>
                <w:sz w:val="18"/>
                <w:szCs w:val="18"/>
              </w:rPr>
              <w:t xml:space="preserve">Paragraph Reference: </w:t>
            </w:r>
            <w:r>
              <w:rPr>
                <w:i/>
                <w:iCs/>
                <w:color w:val="566573"/>
                <w:sz w:val="18"/>
                <w:szCs w:val="18"/>
              </w:rPr>
              <w:t>Paragraph WW — Digital safety and information integrity</w:t>
            </w:r>
          </w:p>
          <w:p w14:paraId="44131C59" w14:textId="77777777" w:rsidR="00AD3246" w:rsidRDefault="00F87E44">
            <w:pPr>
              <w:spacing w:before="60"/>
            </w:pPr>
            <w:r>
              <w:rPr>
                <w:b/>
                <w:bCs/>
                <w:color w:val="566573"/>
                <w:sz w:val="18"/>
                <w:szCs w:val="18"/>
              </w:rPr>
              <w:t xml:space="preserve">Proposed Change: </w:t>
            </w:r>
            <w:r>
              <w:rPr>
                <w:color w:val="566573"/>
                <w:sz w:val="18"/>
                <w:szCs w:val="18"/>
              </w:rPr>
              <w:t>Delete the phrase 'to address disinformation, misinformation and hate speech' from paragraph WW.</w:t>
            </w:r>
          </w:p>
        </w:tc>
      </w:tr>
    </w:tbl>
    <w:p w14:paraId="4ADC64B7" w14:textId="77777777" w:rsidR="00AD3246" w:rsidRDefault="00F87E44">
      <w:pPr>
        <w:spacing w:before="160" w:after="60"/>
      </w:pPr>
      <w:r>
        <w:rPr>
          <w:b/>
          <w:bCs/>
          <w:color w:val="C0392B"/>
        </w:rPr>
        <w:t>Factual and Legal Analysis</w:t>
      </w:r>
    </w:p>
    <w:p w14:paraId="0410971A" w14:textId="77777777" w:rsidR="00AD3246" w:rsidRDefault="00F87E44">
      <w:pPr>
        <w:pStyle w:val="ListParagraph"/>
        <w:numPr>
          <w:ilvl w:val="0"/>
          <w:numId w:val="2"/>
        </w:numPr>
        <w:spacing w:before="40" w:after="60"/>
      </w:pPr>
      <w:r>
        <w:rPr>
          <w:color w:val="2C3E50"/>
        </w:rPr>
        <w:t>Online disinformation, misinformation, and hate speech directed at women — including female politicians, journalists, human rights defenders, and survivors of gender-based violence — are well-documented phenomena addressed in reports of the Special Rapporteur on Violence Against Women and the Special Rapporteur on Freedom of Expression.</w:t>
      </w:r>
    </w:p>
    <w:p w14:paraId="0B817307" w14:textId="77777777" w:rsidR="00AD3246" w:rsidRDefault="00F87E44">
      <w:pPr>
        <w:pStyle w:val="ListParagraph"/>
        <w:numPr>
          <w:ilvl w:val="0"/>
          <w:numId w:val="2"/>
        </w:numPr>
        <w:spacing w:before="40" w:after="60"/>
      </w:pPr>
      <w:r>
        <w:rPr>
          <w:color w:val="2C3E50"/>
        </w:rPr>
        <w:t xml:space="preserve">The framing of this amendment conflates the concept of censorship with targeted measures to counter gender-based online violence. These are categorically distinct: international freedom of expression standards </w:t>
      </w:r>
      <w:proofErr w:type="gramStart"/>
      <w:r>
        <w:rPr>
          <w:color w:val="2C3E50"/>
        </w:rPr>
        <w:t>permit</w:t>
      </w:r>
      <w:proofErr w:type="gramEnd"/>
      <w:r>
        <w:rPr>
          <w:color w:val="2C3E50"/>
        </w:rPr>
        <w:t xml:space="preserve"> restrictions narrowly tailored to protect individuals from violence, discrimination, and harassment.</w:t>
      </w:r>
    </w:p>
    <w:p w14:paraId="002677F6" w14:textId="77777777" w:rsidR="00AD3246" w:rsidRDefault="00F87E44">
      <w:pPr>
        <w:pStyle w:val="ListParagraph"/>
        <w:numPr>
          <w:ilvl w:val="0"/>
          <w:numId w:val="2"/>
        </w:numPr>
        <w:spacing w:before="40" w:after="60"/>
      </w:pPr>
      <w:r>
        <w:rPr>
          <w:color w:val="2C3E50"/>
        </w:rPr>
        <w:t>The UN Plan of Action on Hate Speech (2019) and multiple Human Rights Council resolutions affirm that hate speech directed at women constitutes a form of gender-based discrimination.</w:t>
      </w:r>
    </w:p>
    <w:p w14:paraId="5ED4D67B" w14:textId="77777777" w:rsidR="00AD3246" w:rsidRDefault="00F87E44">
      <w:pPr>
        <w:spacing w:before="160" w:after="60"/>
      </w:pPr>
      <w:r>
        <w:rPr>
          <w:b/>
          <w:bCs/>
          <w:color w:val="C0392B"/>
        </w:rPr>
        <w:t>Real-World Consequences</w:t>
      </w:r>
    </w:p>
    <w:p w14:paraId="26351CC8" w14:textId="77777777" w:rsidR="00AD3246" w:rsidRDefault="00F87E44">
      <w:pPr>
        <w:pStyle w:val="ListParagraph"/>
        <w:numPr>
          <w:ilvl w:val="0"/>
          <w:numId w:val="2"/>
        </w:numPr>
        <w:spacing w:before="40" w:after="60"/>
      </w:pPr>
      <w:r>
        <w:rPr>
          <w:color w:val="2C3E50"/>
        </w:rPr>
        <w:t>Removing this language would eliminate the agreed conclusions' recognition that online harms — including coordinated harassment, non-consensual image sharing, and incitement — require specific policy responses.</w:t>
      </w:r>
    </w:p>
    <w:p w14:paraId="5E9DDC54" w14:textId="77777777" w:rsidR="00AD3246" w:rsidRDefault="00F87E44">
      <w:pPr>
        <w:pStyle w:val="ListParagraph"/>
        <w:numPr>
          <w:ilvl w:val="0"/>
          <w:numId w:val="2"/>
        </w:numPr>
        <w:spacing w:before="40" w:after="60"/>
      </w:pPr>
      <w:r>
        <w:rPr>
          <w:color w:val="2C3E50"/>
        </w:rPr>
        <w:t>Women in public life, including elected officials, civil society leaders, and human rights defenders, are disproportionately targeted by online abuse campaigns. Deleting this provision signals that such abuse is beyond the scope of the Commission's concern.</w:t>
      </w:r>
    </w:p>
    <w:p w14:paraId="691A5AC7" w14:textId="77777777" w:rsidR="00AD3246" w:rsidRDefault="00AD3246">
      <w:pPr>
        <w:spacing w:before="20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360"/>
      </w:tblGrid>
      <w:tr w:rsidR="00AD3246" w14:paraId="74D48F9E" w14:textId="77777777">
        <w:tc>
          <w:tcPr>
            <w:tcW w:w="9360" w:type="dxa"/>
            <w:tcBorders>
              <w:top w:val="single" w:sz="1" w:space="0" w:color="BFC9CA"/>
              <w:left w:val="single" w:sz="1" w:space="0" w:color="BFC9CA"/>
              <w:bottom w:val="single" w:sz="1" w:space="0" w:color="BFC9CA"/>
              <w:right w:val="single" w:sz="1" w:space="0" w:color="BFC9CA"/>
            </w:tcBorders>
            <w:shd w:val="clear" w:color="auto" w:fill="1A5276"/>
            <w:tcMar>
              <w:top w:w="100" w:type="dxa"/>
              <w:left w:w="160" w:type="dxa"/>
              <w:bottom w:w="100" w:type="dxa"/>
              <w:right w:w="160" w:type="dxa"/>
            </w:tcMar>
          </w:tcPr>
          <w:p w14:paraId="33198373" w14:textId="77777777" w:rsidR="00AD3246" w:rsidRDefault="00F87E44">
            <w:r>
              <w:rPr>
                <w:b/>
                <w:bCs/>
                <w:color w:val="FFFFFF"/>
                <w:sz w:val="22"/>
                <w:szCs w:val="22"/>
              </w:rPr>
              <w:t>Amendment 6: Delete References to Reparations</w:t>
            </w:r>
          </w:p>
        </w:tc>
      </w:tr>
      <w:tr w:rsidR="00AD3246" w14:paraId="770FAC15" w14:textId="77777777">
        <w:tc>
          <w:tcPr>
            <w:tcW w:w="9360" w:type="dxa"/>
            <w:tcBorders>
              <w:top w:val="single" w:sz="1" w:space="0" w:color="BFC9CA"/>
              <w:left w:val="single" w:sz="1" w:space="0" w:color="BFC9CA"/>
              <w:bottom w:val="single" w:sz="1" w:space="0" w:color="BFC9CA"/>
              <w:right w:val="single" w:sz="1" w:space="0" w:color="BFC9CA"/>
            </w:tcBorders>
            <w:shd w:val="clear" w:color="auto" w:fill="F2F3F4"/>
            <w:tcMar>
              <w:top w:w="80" w:type="dxa"/>
              <w:left w:w="160" w:type="dxa"/>
              <w:bottom w:w="80" w:type="dxa"/>
              <w:right w:w="160" w:type="dxa"/>
            </w:tcMar>
          </w:tcPr>
          <w:p w14:paraId="19968D1F" w14:textId="77777777" w:rsidR="00AD3246" w:rsidRDefault="00F87E44">
            <w:r>
              <w:rPr>
                <w:b/>
                <w:bCs/>
                <w:color w:val="566573"/>
                <w:sz w:val="18"/>
                <w:szCs w:val="18"/>
              </w:rPr>
              <w:t xml:space="preserve">Paragraph Reference: </w:t>
            </w:r>
            <w:r>
              <w:rPr>
                <w:i/>
                <w:iCs/>
                <w:color w:val="566573"/>
                <w:sz w:val="18"/>
                <w:szCs w:val="18"/>
              </w:rPr>
              <w:t>Paragraphs O, A, FF — Reparations in conflict and post-conflict contexts</w:t>
            </w:r>
          </w:p>
          <w:p w14:paraId="3FB0A751" w14:textId="77777777" w:rsidR="00AD3246" w:rsidRDefault="00F87E44">
            <w:pPr>
              <w:spacing w:before="60"/>
            </w:pPr>
            <w:r>
              <w:rPr>
                <w:b/>
                <w:bCs/>
                <w:color w:val="566573"/>
                <w:sz w:val="18"/>
                <w:szCs w:val="18"/>
              </w:rPr>
              <w:t xml:space="preserve">Proposed Change: </w:t>
            </w:r>
            <w:r>
              <w:rPr>
                <w:color w:val="566573"/>
                <w:sz w:val="18"/>
                <w:szCs w:val="18"/>
              </w:rPr>
              <w:t>Delete all references to 'reparations' from paragraphs O, A, and FF.</w:t>
            </w:r>
          </w:p>
        </w:tc>
      </w:tr>
    </w:tbl>
    <w:p w14:paraId="2F49A3C8" w14:textId="77777777" w:rsidR="00AD3246" w:rsidRDefault="00F87E44">
      <w:pPr>
        <w:spacing w:before="160" w:after="60"/>
      </w:pPr>
      <w:r>
        <w:rPr>
          <w:b/>
          <w:bCs/>
          <w:color w:val="C0392B"/>
        </w:rPr>
        <w:t>Factual and Legal Analysis</w:t>
      </w:r>
    </w:p>
    <w:p w14:paraId="371CF6C4" w14:textId="77777777" w:rsidR="00AD3246" w:rsidRDefault="00F87E44">
      <w:pPr>
        <w:pStyle w:val="ListParagraph"/>
        <w:numPr>
          <w:ilvl w:val="0"/>
          <w:numId w:val="2"/>
        </w:numPr>
        <w:spacing w:before="40" w:after="60"/>
      </w:pPr>
      <w:r>
        <w:rPr>
          <w:color w:val="2C3E50"/>
        </w:rPr>
        <w:t>Reparations for conflict-related gender-based violence — including sexual violence — are firmly established in international law. UN Security Council Resolution 2467 (2019) explicitly calls for reparations for victims of sexual violence in conflict. The Rome Statute of the International Criminal Court includes reparations as a core remedy.</w:t>
      </w:r>
    </w:p>
    <w:p w14:paraId="6D337F23" w14:textId="77777777" w:rsidR="00AD3246" w:rsidRDefault="00F87E44">
      <w:pPr>
        <w:pStyle w:val="ListParagraph"/>
        <w:numPr>
          <w:ilvl w:val="0"/>
          <w:numId w:val="2"/>
        </w:numPr>
        <w:spacing w:before="40" w:after="60"/>
      </w:pPr>
      <w:r>
        <w:rPr>
          <w:color w:val="2C3E50"/>
        </w:rPr>
        <w:lastRenderedPageBreak/>
        <w:t>The mandate of the Special Rapporteur on the Promotion of Truth, Justice, Reparation and Guarantees of Non-Recurrence has consistently emphasized that gender-responsive reparations are essential to transitional justice frameworks. The Special Rapporteur's reports document the systematic failure of post-conflict processes to provide meaningful redress to women survivors.</w:t>
      </w:r>
    </w:p>
    <w:p w14:paraId="6BA15BEC" w14:textId="77777777" w:rsidR="00AD3246" w:rsidRDefault="00F87E44">
      <w:pPr>
        <w:pStyle w:val="ListParagraph"/>
        <w:numPr>
          <w:ilvl w:val="0"/>
          <w:numId w:val="2"/>
        </w:numPr>
        <w:spacing w:before="40" w:after="60"/>
      </w:pPr>
      <w:r>
        <w:rPr>
          <w:color w:val="2C3E50"/>
        </w:rPr>
        <w:t>The suggestion that reparations lack 'basis in international law' contradicts the jurisprudence of international criminal tribunals including the ICTY, ICTR, and ICC, as well as the Inter-American Court of Human Rights, all of which have ordered and implemented reparations for gender-based violence.</w:t>
      </w:r>
    </w:p>
    <w:p w14:paraId="28505077" w14:textId="77777777" w:rsidR="00AD3246" w:rsidRDefault="00F87E44">
      <w:pPr>
        <w:pStyle w:val="ListParagraph"/>
        <w:numPr>
          <w:ilvl w:val="0"/>
          <w:numId w:val="2"/>
        </w:numPr>
        <w:spacing w:before="40" w:after="60"/>
      </w:pPr>
      <w:r>
        <w:rPr>
          <w:color w:val="2C3E50"/>
        </w:rPr>
        <w:t xml:space="preserve">The claim that the concept of reparations has been misused to argue for changes to abortion law does not constitute a legal basis for deleting reparations from agreed conclusions. The remedy of reparation is well-defined in international </w:t>
      </w:r>
      <w:proofErr w:type="gramStart"/>
      <w:r>
        <w:rPr>
          <w:color w:val="2C3E50"/>
        </w:rPr>
        <w:t>law</w:t>
      </w:r>
      <w:proofErr w:type="gramEnd"/>
      <w:r>
        <w:rPr>
          <w:color w:val="2C3E50"/>
        </w:rPr>
        <w:t xml:space="preserve"> and its definition is not subject to unilateral reinterpretation.</w:t>
      </w:r>
    </w:p>
    <w:p w14:paraId="2C2BB614" w14:textId="77777777" w:rsidR="00AD3246" w:rsidRDefault="00F87E44">
      <w:pPr>
        <w:spacing w:before="160" w:after="60"/>
      </w:pPr>
      <w:r>
        <w:rPr>
          <w:b/>
          <w:bCs/>
          <w:color w:val="C0392B"/>
        </w:rPr>
        <w:t>Real-World Consequences</w:t>
      </w:r>
    </w:p>
    <w:p w14:paraId="23F4F6BB" w14:textId="77777777" w:rsidR="00AD3246" w:rsidRDefault="00F87E44">
      <w:pPr>
        <w:pStyle w:val="ListParagraph"/>
        <w:numPr>
          <w:ilvl w:val="0"/>
          <w:numId w:val="2"/>
        </w:numPr>
        <w:spacing w:before="40" w:after="60"/>
      </w:pPr>
      <w:r>
        <w:rPr>
          <w:color w:val="2C3E50"/>
        </w:rPr>
        <w:t>Women survivors of conflict-related sexual violence — rape, sexual slavery, forced pregnancy, and forced sterilization — would be denied acknowledgment of their right to redress within the CSW framework.</w:t>
      </w:r>
    </w:p>
    <w:p w14:paraId="07AA3921" w14:textId="77777777" w:rsidR="00AD3246" w:rsidRDefault="00F87E44">
      <w:pPr>
        <w:pStyle w:val="ListParagraph"/>
        <w:numPr>
          <w:ilvl w:val="0"/>
          <w:numId w:val="2"/>
        </w:numPr>
        <w:spacing w:before="40" w:after="60"/>
      </w:pPr>
      <w:r>
        <w:rPr>
          <w:color w:val="2C3E50"/>
        </w:rPr>
        <w:t>This amendment would contradict existing international obligations of Member States under the Rome Statute and binding Security Council resolutions.</w:t>
      </w:r>
    </w:p>
    <w:p w14:paraId="285E6E9F" w14:textId="77777777" w:rsidR="00AD3246" w:rsidRDefault="00F87E44">
      <w:pPr>
        <w:pStyle w:val="ListParagraph"/>
        <w:numPr>
          <w:ilvl w:val="0"/>
          <w:numId w:val="2"/>
        </w:numPr>
        <w:spacing w:before="40" w:after="60"/>
      </w:pPr>
      <w:r>
        <w:rPr>
          <w:color w:val="2C3E50"/>
        </w:rPr>
        <w:t>Post-conflict transitional justice processes that rely on CSW agreed conclusions as normative reference would be weakened, affecting survivors' ability to access truth, justice, and non-recurrence guarantees.</w:t>
      </w:r>
    </w:p>
    <w:p w14:paraId="49C6961D" w14:textId="77777777" w:rsidR="00AD3246" w:rsidRDefault="00AD3246">
      <w:pPr>
        <w:spacing w:before="20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360"/>
      </w:tblGrid>
      <w:tr w:rsidR="00AD3246" w14:paraId="71F73E77" w14:textId="77777777">
        <w:tc>
          <w:tcPr>
            <w:tcW w:w="9360" w:type="dxa"/>
            <w:tcBorders>
              <w:top w:val="single" w:sz="1" w:space="0" w:color="BFC9CA"/>
              <w:left w:val="single" w:sz="1" w:space="0" w:color="BFC9CA"/>
              <w:bottom w:val="single" w:sz="1" w:space="0" w:color="BFC9CA"/>
              <w:right w:val="single" w:sz="1" w:space="0" w:color="BFC9CA"/>
            </w:tcBorders>
            <w:shd w:val="clear" w:color="auto" w:fill="1A5276"/>
            <w:tcMar>
              <w:top w:w="100" w:type="dxa"/>
              <w:left w:w="160" w:type="dxa"/>
              <w:bottom w:w="100" w:type="dxa"/>
              <w:right w:w="160" w:type="dxa"/>
            </w:tcMar>
          </w:tcPr>
          <w:p w14:paraId="6279B3E5" w14:textId="77777777" w:rsidR="00AD3246" w:rsidRDefault="00F87E44">
            <w:r>
              <w:rPr>
                <w:b/>
                <w:bCs/>
                <w:color w:val="FFFFFF"/>
                <w:sz w:val="22"/>
                <w:szCs w:val="22"/>
              </w:rPr>
              <w:t>Amendment 7: Delete Paragraph on Unilateral Coercive Measures</w:t>
            </w:r>
          </w:p>
        </w:tc>
      </w:tr>
      <w:tr w:rsidR="00AD3246" w14:paraId="6F2B776A" w14:textId="77777777">
        <w:tc>
          <w:tcPr>
            <w:tcW w:w="9360" w:type="dxa"/>
            <w:tcBorders>
              <w:top w:val="single" w:sz="1" w:space="0" w:color="BFC9CA"/>
              <w:left w:val="single" w:sz="1" w:space="0" w:color="BFC9CA"/>
              <w:bottom w:val="single" w:sz="1" w:space="0" w:color="BFC9CA"/>
              <w:right w:val="single" w:sz="1" w:space="0" w:color="BFC9CA"/>
            </w:tcBorders>
            <w:shd w:val="clear" w:color="auto" w:fill="F2F3F4"/>
            <w:tcMar>
              <w:top w:w="80" w:type="dxa"/>
              <w:left w:w="160" w:type="dxa"/>
              <w:bottom w:w="80" w:type="dxa"/>
              <w:right w:w="160" w:type="dxa"/>
            </w:tcMar>
          </w:tcPr>
          <w:p w14:paraId="3524591C" w14:textId="77777777" w:rsidR="00AD3246" w:rsidRDefault="00F87E44">
            <w:r>
              <w:rPr>
                <w:b/>
                <w:bCs/>
                <w:color w:val="566573"/>
                <w:sz w:val="18"/>
                <w:szCs w:val="18"/>
              </w:rPr>
              <w:t xml:space="preserve">Paragraph Reference: </w:t>
            </w:r>
            <w:r>
              <w:rPr>
                <w:i/>
                <w:iCs/>
                <w:color w:val="566573"/>
                <w:sz w:val="18"/>
                <w:szCs w:val="18"/>
              </w:rPr>
              <w:t>Paragraph CC — Unilateral coercive measures</w:t>
            </w:r>
          </w:p>
          <w:p w14:paraId="4E7B6701" w14:textId="77777777" w:rsidR="00AD3246" w:rsidRDefault="00F87E44">
            <w:pPr>
              <w:spacing w:before="60"/>
            </w:pPr>
            <w:r>
              <w:rPr>
                <w:b/>
                <w:bCs/>
                <w:color w:val="566573"/>
                <w:sz w:val="18"/>
                <w:szCs w:val="18"/>
              </w:rPr>
              <w:t xml:space="preserve">Proposed Change: </w:t>
            </w:r>
            <w:r>
              <w:rPr>
                <w:color w:val="566573"/>
                <w:sz w:val="18"/>
                <w:szCs w:val="18"/>
              </w:rPr>
              <w:t>Delete the entire paragraph CC, which addresses the impact of unilateral coercive measures on women's access to justice.</w:t>
            </w:r>
          </w:p>
        </w:tc>
      </w:tr>
    </w:tbl>
    <w:p w14:paraId="7191067B" w14:textId="77777777" w:rsidR="00AD3246" w:rsidRDefault="00F87E44">
      <w:pPr>
        <w:spacing w:before="160" w:after="60"/>
      </w:pPr>
      <w:r>
        <w:rPr>
          <w:b/>
          <w:bCs/>
          <w:color w:val="C0392B"/>
        </w:rPr>
        <w:t>Factual and Legal Analysis</w:t>
      </w:r>
    </w:p>
    <w:p w14:paraId="63B288F4" w14:textId="77777777" w:rsidR="00AD3246" w:rsidRDefault="00F87E44">
      <w:pPr>
        <w:pStyle w:val="ListParagraph"/>
        <w:numPr>
          <w:ilvl w:val="0"/>
          <w:numId w:val="2"/>
        </w:numPr>
        <w:spacing w:before="40" w:after="60"/>
      </w:pPr>
      <w:r>
        <w:rPr>
          <w:color w:val="2C3E50"/>
        </w:rPr>
        <w:t>The United Nations General Assembly has repeatedly adopted resolutions recognizing the negative impact of unilateral coercive measures on the enjoyment of human rights, including the rights of women and girls. The Special Rapporteur on Unilateral Coercive Measures documents their effects on populations' access to health, food, justice, and services.</w:t>
      </w:r>
    </w:p>
    <w:p w14:paraId="533CE49D" w14:textId="77777777" w:rsidR="00AD3246" w:rsidRDefault="00F87E44">
      <w:pPr>
        <w:pStyle w:val="ListParagraph"/>
        <w:numPr>
          <w:ilvl w:val="0"/>
          <w:numId w:val="2"/>
        </w:numPr>
        <w:spacing w:before="40" w:after="60"/>
      </w:pPr>
      <w:r>
        <w:rPr>
          <w:color w:val="2C3E50"/>
        </w:rPr>
        <w:t>The human rights impacts of sanctions — including on women's access to healthcare, legal services, and economic resources — are empirically documented. Whether or not particular sanctions are considered lawful by the imposing State, their humanitarian consequences fall within the Commission's mandate.</w:t>
      </w:r>
    </w:p>
    <w:p w14:paraId="621B2B0F" w14:textId="77777777" w:rsidR="00AD3246" w:rsidRDefault="00F87E44">
      <w:pPr>
        <w:spacing w:before="160" w:after="60"/>
      </w:pPr>
      <w:r>
        <w:rPr>
          <w:b/>
          <w:bCs/>
          <w:color w:val="C0392B"/>
        </w:rPr>
        <w:t>Real-World Consequences</w:t>
      </w:r>
    </w:p>
    <w:p w14:paraId="474FB7FD" w14:textId="77777777" w:rsidR="00AD3246" w:rsidRDefault="00F87E44">
      <w:pPr>
        <w:pStyle w:val="ListParagraph"/>
        <w:numPr>
          <w:ilvl w:val="0"/>
          <w:numId w:val="2"/>
        </w:numPr>
        <w:spacing w:before="40" w:after="60"/>
      </w:pPr>
      <w:r>
        <w:rPr>
          <w:color w:val="2C3E50"/>
        </w:rPr>
        <w:t>Deleting this paragraph would remove the agreed conclusions' recognition that economic and political coercive measures have gendered consequences, particularly affecting women's ability to access justice systems and support services.</w:t>
      </w:r>
    </w:p>
    <w:p w14:paraId="58524112" w14:textId="77777777" w:rsidR="00AD3246" w:rsidRDefault="00AD3246">
      <w:pPr>
        <w:spacing w:before="20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360"/>
      </w:tblGrid>
      <w:tr w:rsidR="00AD3246" w14:paraId="5282643C" w14:textId="77777777">
        <w:tc>
          <w:tcPr>
            <w:tcW w:w="9360" w:type="dxa"/>
            <w:tcBorders>
              <w:top w:val="single" w:sz="1" w:space="0" w:color="BFC9CA"/>
              <w:left w:val="single" w:sz="1" w:space="0" w:color="BFC9CA"/>
              <w:bottom w:val="single" w:sz="1" w:space="0" w:color="BFC9CA"/>
              <w:right w:val="single" w:sz="1" w:space="0" w:color="BFC9CA"/>
            </w:tcBorders>
            <w:shd w:val="clear" w:color="auto" w:fill="1A5276"/>
            <w:tcMar>
              <w:top w:w="100" w:type="dxa"/>
              <w:left w:w="160" w:type="dxa"/>
              <w:bottom w:w="100" w:type="dxa"/>
              <w:right w:w="160" w:type="dxa"/>
            </w:tcMar>
          </w:tcPr>
          <w:p w14:paraId="66973969" w14:textId="77777777" w:rsidR="00AD3246" w:rsidRDefault="00F87E44">
            <w:r>
              <w:rPr>
                <w:b/>
                <w:bCs/>
                <w:color w:val="FFFFFF"/>
                <w:sz w:val="22"/>
                <w:szCs w:val="22"/>
              </w:rPr>
              <w:t>Amendment 8: Replace 'Balance' with 'Equality and Empowerment of All Women and Girls'</w:t>
            </w:r>
          </w:p>
        </w:tc>
      </w:tr>
      <w:tr w:rsidR="00AD3246" w14:paraId="327726DB" w14:textId="77777777">
        <w:tc>
          <w:tcPr>
            <w:tcW w:w="9360" w:type="dxa"/>
            <w:tcBorders>
              <w:top w:val="single" w:sz="1" w:space="0" w:color="BFC9CA"/>
              <w:left w:val="single" w:sz="1" w:space="0" w:color="BFC9CA"/>
              <w:bottom w:val="single" w:sz="1" w:space="0" w:color="BFC9CA"/>
              <w:right w:val="single" w:sz="1" w:space="0" w:color="BFC9CA"/>
            </w:tcBorders>
            <w:shd w:val="clear" w:color="auto" w:fill="F2F3F4"/>
            <w:tcMar>
              <w:top w:w="80" w:type="dxa"/>
              <w:left w:w="160" w:type="dxa"/>
              <w:bottom w:w="80" w:type="dxa"/>
              <w:right w:w="160" w:type="dxa"/>
            </w:tcMar>
          </w:tcPr>
          <w:p w14:paraId="6F4C2BA2" w14:textId="77777777" w:rsidR="00AD3246" w:rsidRDefault="00F87E44">
            <w:r>
              <w:rPr>
                <w:b/>
                <w:bCs/>
                <w:color w:val="566573"/>
                <w:sz w:val="18"/>
                <w:szCs w:val="18"/>
              </w:rPr>
              <w:t xml:space="preserve">Paragraph Reference: </w:t>
            </w:r>
            <w:r>
              <w:rPr>
                <w:i/>
                <w:iCs/>
                <w:color w:val="566573"/>
                <w:sz w:val="18"/>
                <w:szCs w:val="18"/>
              </w:rPr>
              <w:t>Paragraph H — Structural barriers and institutional mandates</w:t>
            </w:r>
          </w:p>
          <w:p w14:paraId="5832DDE3" w14:textId="77777777" w:rsidR="00AD3246" w:rsidRDefault="00F87E44">
            <w:pPr>
              <w:spacing w:before="60"/>
            </w:pPr>
            <w:r>
              <w:rPr>
                <w:b/>
                <w:bCs/>
                <w:color w:val="566573"/>
                <w:sz w:val="18"/>
                <w:szCs w:val="18"/>
              </w:rPr>
              <w:t xml:space="preserve">Proposed Change: </w:t>
            </w:r>
            <w:r>
              <w:rPr>
                <w:color w:val="566573"/>
                <w:sz w:val="18"/>
                <w:szCs w:val="18"/>
              </w:rPr>
              <w:t>Replace the word 'balance' with 'equality and empowerment of all women and girls' in paragraph H.</w:t>
            </w:r>
          </w:p>
        </w:tc>
      </w:tr>
    </w:tbl>
    <w:p w14:paraId="201A6DC9" w14:textId="77777777" w:rsidR="00AD3246" w:rsidRDefault="00F87E44">
      <w:pPr>
        <w:spacing w:before="160" w:after="60"/>
      </w:pPr>
      <w:r>
        <w:rPr>
          <w:b/>
          <w:bCs/>
          <w:color w:val="C0392B"/>
        </w:rPr>
        <w:t>Factual and Legal Analysis</w:t>
      </w:r>
    </w:p>
    <w:p w14:paraId="30F283C6" w14:textId="77777777" w:rsidR="00AD3246" w:rsidRDefault="00F87E44">
      <w:pPr>
        <w:pStyle w:val="ListParagraph"/>
        <w:numPr>
          <w:ilvl w:val="0"/>
          <w:numId w:val="2"/>
        </w:numPr>
        <w:spacing w:before="40" w:after="60"/>
      </w:pPr>
      <w:r>
        <w:rPr>
          <w:color w:val="2C3E50"/>
        </w:rPr>
        <w:t>While the phrase proposed is broadly positive, the stated rationale explicitly rejects the concepts of structural barriers and historical inequalities, characterizing them as forms of 'diversity, equity and inclusion' rather than empirically documented phenomena.</w:t>
      </w:r>
    </w:p>
    <w:p w14:paraId="62B60EE8" w14:textId="77777777" w:rsidR="00AD3246" w:rsidRDefault="00F87E44">
      <w:pPr>
        <w:pStyle w:val="ListParagraph"/>
        <w:numPr>
          <w:ilvl w:val="0"/>
          <w:numId w:val="2"/>
        </w:numPr>
        <w:spacing w:before="40" w:after="60"/>
      </w:pPr>
      <w:r>
        <w:rPr>
          <w:color w:val="2C3E50"/>
        </w:rPr>
        <w:t xml:space="preserve">Structural barriers to women's access to justice — including discriminatory laws, lack of legal aid, evidentiary rules disadvantaging survivors, and institutional gender bias — are documented in reports </w:t>
      </w:r>
      <w:r>
        <w:rPr>
          <w:color w:val="2C3E50"/>
        </w:rPr>
        <w:lastRenderedPageBreak/>
        <w:t>of CEDAW, the Special Rapporteur on Violence Against Women, and multiple UN Women reports. These are not contested concepts; they are the foundation of international gender equality law since the Beijing Conference.</w:t>
      </w:r>
    </w:p>
    <w:p w14:paraId="7D66BB29" w14:textId="77777777" w:rsidR="00AD3246" w:rsidRDefault="00F87E44">
      <w:pPr>
        <w:pStyle w:val="ListParagraph"/>
        <w:numPr>
          <w:ilvl w:val="0"/>
          <w:numId w:val="2"/>
        </w:numPr>
        <w:spacing w:before="40" w:after="60"/>
      </w:pPr>
      <w:r>
        <w:rPr>
          <w:color w:val="2C3E50"/>
        </w:rPr>
        <w:t>The stated reason for withdrawal from UN Women — opposition to programming addressing 'structural barriers and unreasonable historical inequalities' — signals an intent to narrow the mandate of the only UN agency exclusively dedicated to gender equality.</w:t>
      </w:r>
    </w:p>
    <w:p w14:paraId="69270EC6" w14:textId="77777777" w:rsidR="00AD3246" w:rsidRDefault="00F87E44">
      <w:pPr>
        <w:spacing w:before="160" w:after="60"/>
      </w:pPr>
      <w:r>
        <w:rPr>
          <w:b/>
          <w:bCs/>
          <w:color w:val="C0392B"/>
        </w:rPr>
        <w:t>Real-World Consequences</w:t>
      </w:r>
    </w:p>
    <w:p w14:paraId="1A6EBDF0" w14:textId="77777777" w:rsidR="00AD3246" w:rsidRDefault="00F87E44">
      <w:pPr>
        <w:pStyle w:val="ListParagraph"/>
        <w:numPr>
          <w:ilvl w:val="0"/>
          <w:numId w:val="2"/>
        </w:numPr>
        <w:spacing w:before="40" w:after="60"/>
      </w:pPr>
      <w:r>
        <w:rPr>
          <w:color w:val="2C3E50"/>
        </w:rPr>
        <w:t>If accepted with the accompanying rationale, this amendment would delegitimize the evidentiary basis upon which gender equality programming, monitoring, and accountability are built.</w:t>
      </w:r>
    </w:p>
    <w:p w14:paraId="25796B45" w14:textId="77777777" w:rsidR="00AD3246" w:rsidRDefault="00F87E44">
      <w:pPr>
        <w:pStyle w:val="ListParagraph"/>
        <w:numPr>
          <w:ilvl w:val="0"/>
          <w:numId w:val="2"/>
        </w:numPr>
        <w:spacing w:before="40" w:after="60"/>
      </w:pPr>
      <w:r>
        <w:rPr>
          <w:color w:val="2C3E50"/>
        </w:rPr>
        <w:t>It would weaken the institutional basis for addressing the systemic causes of gender-based violence and women's exclusion from justice systems.</w:t>
      </w:r>
    </w:p>
    <w:p w14:paraId="3E14E9B1" w14:textId="77777777" w:rsidR="00AD3246" w:rsidRDefault="00AD3246">
      <w:pPr>
        <w:spacing w:before="240"/>
      </w:pPr>
    </w:p>
    <w:tbl>
      <w:tblPr>
        <w:tblW w:w="9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720"/>
      </w:tblGrid>
      <w:tr w:rsidR="00AD3246" w14:paraId="457F94EB" w14:textId="77777777">
        <w:tc>
          <w:tcPr>
            <w:tcW w:w="9720" w:type="dxa"/>
            <w:tcBorders>
              <w:top w:val="single" w:sz="1" w:space="0" w:color="BFC9CA"/>
              <w:left w:val="single" w:sz="1" w:space="0" w:color="BFC9CA"/>
              <w:bottom w:val="single" w:sz="1" w:space="0" w:color="BFC9CA"/>
              <w:right w:val="single" w:sz="1" w:space="0" w:color="BFC9CA"/>
            </w:tcBorders>
            <w:shd w:val="clear" w:color="auto" w:fill="F2F3F4"/>
            <w:tcMar>
              <w:top w:w="160" w:type="dxa"/>
              <w:left w:w="200" w:type="dxa"/>
              <w:bottom w:w="160" w:type="dxa"/>
              <w:right w:w="200" w:type="dxa"/>
            </w:tcMar>
          </w:tcPr>
          <w:p w14:paraId="43560AE9" w14:textId="77777777" w:rsidR="00AD3246" w:rsidRDefault="00F87E44">
            <w:r>
              <w:rPr>
                <w:b/>
                <w:bCs/>
                <w:color w:val="1A5276"/>
                <w:sz w:val="22"/>
                <w:szCs w:val="22"/>
              </w:rPr>
              <w:t>Summary Observation</w:t>
            </w:r>
          </w:p>
          <w:p w14:paraId="56ED5DCA" w14:textId="77777777" w:rsidR="00AD3246" w:rsidRDefault="00F87E44">
            <w:pPr>
              <w:spacing w:before="80"/>
            </w:pPr>
            <w:r>
              <w:rPr>
                <w:color w:val="2C3E50"/>
              </w:rPr>
              <w:t>Taken together, these eight amendments would: narrow the legal definition of gender contrary to established international jurisprudence; subordinate international human rights standards to national law; remove protections for the most marginalized women and girls; eliminate the Commission's recognition of reparations in conflict settings; and undermine the institutional mandate of UN Women. The amendments were voted upon rather than negotiated to consensus — itself an unprecedented departure from sixty-nine years of Commission practice.</w:t>
            </w:r>
          </w:p>
          <w:p w14:paraId="6B3403B8" w14:textId="77777777" w:rsidR="00AD3246" w:rsidRDefault="00F87E44">
            <w:pPr>
              <w:spacing w:before="80"/>
            </w:pPr>
            <w:r>
              <w:rPr>
                <w:color w:val="2C3E50"/>
              </w:rPr>
              <w:t>The consequences are not theoretical. They affect women survivors of conflict-related sexual violence, women living under restrictive national laws, and women belonging to groups facing compounded discrimination — the very populations the Commission was established to protect.</w:t>
            </w:r>
          </w:p>
        </w:tc>
      </w:tr>
    </w:tbl>
    <w:p w14:paraId="4A80C493" w14:textId="77777777" w:rsidR="00AD3246" w:rsidRDefault="00AD3246">
      <w:pPr>
        <w:spacing w:before="160"/>
      </w:pPr>
    </w:p>
    <w:p w14:paraId="49022700" w14:textId="77777777" w:rsidR="00AD3246" w:rsidRDefault="00F87E44">
      <w:pPr>
        <w:jc w:val="center"/>
      </w:pPr>
      <w:r>
        <w:rPr>
          <w:i/>
          <w:iCs/>
          <w:color w:val="566573"/>
          <w:sz w:val="18"/>
          <w:szCs w:val="18"/>
        </w:rPr>
        <w:t xml:space="preserve">Prepared for civil society advocacy </w:t>
      </w:r>
      <w:proofErr w:type="gramStart"/>
      <w:r>
        <w:rPr>
          <w:i/>
          <w:iCs/>
          <w:color w:val="566573"/>
          <w:sz w:val="18"/>
          <w:szCs w:val="18"/>
        </w:rPr>
        <w:t>use  |</w:t>
      </w:r>
      <w:proofErr w:type="gramEnd"/>
      <w:r>
        <w:rPr>
          <w:i/>
          <w:iCs/>
          <w:color w:val="566573"/>
          <w:sz w:val="18"/>
          <w:szCs w:val="18"/>
        </w:rPr>
        <w:t xml:space="preserve">  CSW70, March 2026</w:t>
      </w:r>
    </w:p>
    <w:sectPr w:rsidR="00AD3246">
      <w:pgSz w:w="12240" w:h="15840"/>
      <w:pgMar w:top="1080" w:right="1260" w:bottom="1080" w:left="126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8521C43"/>
    <w:multiLevelType w:val="hybridMultilevel"/>
    <w:tmpl w:val="E86C00CE"/>
    <w:lvl w:ilvl="0" w:tplc="5ECE77B4">
      <w:start w:val="1"/>
      <w:numFmt w:val="bullet"/>
      <w:lvlText w:val="•"/>
      <w:lvlJc w:val="left"/>
      <w:pPr>
        <w:ind w:left="540" w:hanging="260"/>
      </w:pPr>
    </w:lvl>
    <w:lvl w:ilvl="1" w:tplc="DA80085A">
      <w:numFmt w:val="decimal"/>
      <w:lvlText w:val=""/>
      <w:lvlJc w:val="left"/>
    </w:lvl>
    <w:lvl w:ilvl="2" w:tplc="D130DC82">
      <w:numFmt w:val="decimal"/>
      <w:lvlText w:val=""/>
      <w:lvlJc w:val="left"/>
    </w:lvl>
    <w:lvl w:ilvl="3" w:tplc="F7725250">
      <w:numFmt w:val="decimal"/>
      <w:lvlText w:val=""/>
      <w:lvlJc w:val="left"/>
    </w:lvl>
    <w:lvl w:ilvl="4" w:tplc="610C8CEA">
      <w:numFmt w:val="decimal"/>
      <w:lvlText w:val=""/>
      <w:lvlJc w:val="left"/>
    </w:lvl>
    <w:lvl w:ilvl="5" w:tplc="5E347E84">
      <w:numFmt w:val="decimal"/>
      <w:lvlText w:val=""/>
      <w:lvlJc w:val="left"/>
    </w:lvl>
    <w:lvl w:ilvl="6" w:tplc="FAEE0CEC">
      <w:numFmt w:val="decimal"/>
      <w:lvlText w:val=""/>
      <w:lvlJc w:val="left"/>
    </w:lvl>
    <w:lvl w:ilvl="7" w:tplc="11846DAA">
      <w:numFmt w:val="decimal"/>
      <w:lvlText w:val=""/>
      <w:lvlJc w:val="left"/>
    </w:lvl>
    <w:lvl w:ilvl="8" w:tplc="B0507598">
      <w:numFmt w:val="decimal"/>
      <w:lvlText w:val=""/>
      <w:lvlJc w:val="left"/>
    </w:lvl>
  </w:abstractNum>
  <w:abstractNum w:abstractNumId="1" w15:restartNumberingAfterBreak="0">
    <w:nsid w:val="5A303236"/>
    <w:multiLevelType w:val="hybridMultilevel"/>
    <w:tmpl w:val="EC0C06D0"/>
    <w:lvl w:ilvl="0" w:tplc="9378F57C">
      <w:start w:val="1"/>
      <w:numFmt w:val="bullet"/>
      <w:lvlText w:val="●"/>
      <w:lvlJc w:val="left"/>
      <w:pPr>
        <w:ind w:left="720" w:hanging="360"/>
      </w:pPr>
    </w:lvl>
    <w:lvl w:ilvl="1" w:tplc="296A36A4">
      <w:start w:val="1"/>
      <w:numFmt w:val="bullet"/>
      <w:lvlText w:val="○"/>
      <w:lvlJc w:val="left"/>
      <w:pPr>
        <w:ind w:left="1440" w:hanging="360"/>
      </w:pPr>
    </w:lvl>
    <w:lvl w:ilvl="2" w:tplc="86387B14">
      <w:start w:val="1"/>
      <w:numFmt w:val="bullet"/>
      <w:lvlText w:val="■"/>
      <w:lvlJc w:val="left"/>
      <w:pPr>
        <w:ind w:left="2160" w:hanging="360"/>
      </w:pPr>
    </w:lvl>
    <w:lvl w:ilvl="3" w:tplc="18C6C104">
      <w:start w:val="1"/>
      <w:numFmt w:val="bullet"/>
      <w:lvlText w:val="●"/>
      <w:lvlJc w:val="left"/>
      <w:pPr>
        <w:ind w:left="2880" w:hanging="360"/>
      </w:pPr>
    </w:lvl>
    <w:lvl w:ilvl="4" w:tplc="69EC0B62">
      <w:start w:val="1"/>
      <w:numFmt w:val="bullet"/>
      <w:lvlText w:val="○"/>
      <w:lvlJc w:val="left"/>
      <w:pPr>
        <w:ind w:left="3600" w:hanging="360"/>
      </w:pPr>
    </w:lvl>
    <w:lvl w:ilvl="5" w:tplc="FE52592E">
      <w:start w:val="1"/>
      <w:numFmt w:val="bullet"/>
      <w:lvlText w:val="■"/>
      <w:lvlJc w:val="left"/>
      <w:pPr>
        <w:ind w:left="4320" w:hanging="360"/>
      </w:pPr>
    </w:lvl>
    <w:lvl w:ilvl="6" w:tplc="C6F2B1EA">
      <w:start w:val="1"/>
      <w:numFmt w:val="bullet"/>
      <w:lvlText w:val="●"/>
      <w:lvlJc w:val="left"/>
      <w:pPr>
        <w:ind w:left="5040" w:hanging="360"/>
      </w:pPr>
    </w:lvl>
    <w:lvl w:ilvl="7" w:tplc="DB0AB428">
      <w:start w:val="1"/>
      <w:numFmt w:val="bullet"/>
      <w:lvlText w:val="●"/>
      <w:lvlJc w:val="left"/>
      <w:pPr>
        <w:ind w:left="5760" w:hanging="360"/>
      </w:pPr>
    </w:lvl>
    <w:lvl w:ilvl="8" w:tplc="0F266874">
      <w:start w:val="1"/>
      <w:numFmt w:val="bullet"/>
      <w:lvlText w:val="●"/>
      <w:lvlJc w:val="left"/>
      <w:pPr>
        <w:ind w:left="6480" w:hanging="360"/>
      </w:pPr>
    </w:lvl>
  </w:abstractNum>
  <w:abstractNum w:abstractNumId="2" w15:restartNumberingAfterBreak="0">
    <w:nsid w:val="737D61CE"/>
    <w:multiLevelType w:val="hybridMultilevel"/>
    <w:tmpl w:val="AC8E4B1E"/>
    <w:lvl w:ilvl="0" w:tplc="285E21C8">
      <w:start w:val="1"/>
      <w:numFmt w:val="bullet"/>
      <w:lvlText w:val="•"/>
      <w:lvlJc w:val="left"/>
      <w:pPr>
        <w:ind w:left="540" w:hanging="260"/>
      </w:pPr>
    </w:lvl>
    <w:lvl w:ilvl="1" w:tplc="40A2F5C6">
      <w:start w:val="1"/>
      <w:numFmt w:val="bullet"/>
      <w:lvlText w:val="◦"/>
      <w:lvlJc w:val="left"/>
      <w:pPr>
        <w:ind w:left="900" w:hanging="260"/>
      </w:pPr>
    </w:lvl>
    <w:lvl w:ilvl="2" w:tplc="2DD6E534">
      <w:numFmt w:val="decimal"/>
      <w:lvlText w:val=""/>
      <w:lvlJc w:val="left"/>
    </w:lvl>
    <w:lvl w:ilvl="3" w:tplc="789460D0">
      <w:numFmt w:val="decimal"/>
      <w:lvlText w:val=""/>
      <w:lvlJc w:val="left"/>
    </w:lvl>
    <w:lvl w:ilvl="4" w:tplc="A92C8F0E">
      <w:numFmt w:val="decimal"/>
      <w:lvlText w:val=""/>
      <w:lvlJc w:val="left"/>
    </w:lvl>
    <w:lvl w:ilvl="5" w:tplc="8B9A05FE">
      <w:numFmt w:val="decimal"/>
      <w:lvlText w:val=""/>
      <w:lvlJc w:val="left"/>
    </w:lvl>
    <w:lvl w:ilvl="6" w:tplc="5F6628C2">
      <w:numFmt w:val="decimal"/>
      <w:lvlText w:val=""/>
      <w:lvlJc w:val="left"/>
    </w:lvl>
    <w:lvl w:ilvl="7" w:tplc="F0B03FD2">
      <w:numFmt w:val="decimal"/>
      <w:lvlText w:val=""/>
      <w:lvlJc w:val="left"/>
    </w:lvl>
    <w:lvl w:ilvl="8" w:tplc="E098DB36">
      <w:numFmt w:val="decimal"/>
      <w:lvlText w:val=""/>
      <w:lvlJc w:val="left"/>
    </w:lvl>
  </w:abstractNum>
  <w:num w:numId="1" w16cid:durableId="1259406542">
    <w:abstractNumId w:val="1"/>
    <w:lvlOverride w:ilvl="0">
      <w:startOverride w:val="1"/>
    </w:lvlOverride>
  </w:num>
  <w:num w:numId="2" w16cid:durableId="902714193">
    <w:abstractNumId w:val="0"/>
    <w:lvlOverride w:ilvl="0">
      <w:startOverride w:val="1"/>
    </w:lvlOverride>
  </w:num>
  <w:num w:numId="3" w16cid:durableId="1462453172">
    <w:abstractNumId w:val="2"/>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displayBackgroundShape/>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D3246"/>
    <w:rsid w:val="003D355F"/>
    <w:rsid w:val="00601755"/>
    <w:rsid w:val="0067292A"/>
    <w:rsid w:val="00776AAE"/>
    <w:rsid w:val="00AD3246"/>
    <w:rsid w:val="00F86445"/>
    <w:rsid w:val="00F87E4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4B3AFAC4"/>
  <w15:docId w15:val="{7C49C93D-28CA-264E-841C-6FC86A1BA6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spacing w:before="360" w:after="120"/>
      <w:outlineLvl w:val="0"/>
    </w:pPr>
    <w:rPr>
      <w:b/>
      <w:bCs/>
      <w:color w:val="1A5276"/>
      <w:sz w:val="28"/>
      <w:szCs w:val="28"/>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5</Pages>
  <Words>2040</Words>
  <Characters>12913</Characters>
  <Application>Microsoft Office Word</Application>
  <DocSecurity>0</DocSecurity>
  <Lines>210</Lines>
  <Paragraphs>98</Paragraphs>
  <ScaleCrop>false</ScaleCrop>
  <Company/>
  <LinksUpToDate>false</LinksUpToDate>
  <CharactersWithSpaces>14934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Berthe De Vos</cp:lastModifiedBy>
  <cp:revision>2</cp:revision>
  <dcterms:created xsi:type="dcterms:W3CDTF">2026-03-18T03:32:00Z</dcterms:created>
  <dcterms:modified xsi:type="dcterms:W3CDTF">2026-03-18T03:32:00Z</dcterms:modified>
</cp:coreProperties>
</file>